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92" w:rsidRDefault="002B3804" w:rsidP="002B3804">
      <w:pPr>
        <w:rPr>
          <w:b/>
        </w:rPr>
      </w:pPr>
      <w:r>
        <w:rPr>
          <w:b/>
        </w:rPr>
        <w:t xml:space="preserve">Appendix </w:t>
      </w:r>
      <w:r w:rsidR="00AF4A95">
        <w:rPr>
          <w:b/>
        </w:rPr>
        <w:t>D</w:t>
      </w:r>
      <w:r>
        <w:rPr>
          <w:b/>
        </w:rPr>
        <w:t xml:space="preserve"> – </w:t>
      </w:r>
      <w:r w:rsidR="00AF4A95">
        <w:rPr>
          <w:b/>
        </w:rPr>
        <w:t xml:space="preserve">Proposed allocation of homelessness prevention funds </w:t>
      </w:r>
      <w:r>
        <w:rPr>
          <w:b/>
        </w:rPr>
        <w:t>201</w:t>
      </w:r>
      <w:r w:rsidR="00AF4A95">
        <w:rPr>
          <w:b/>
        </w:rPr>
        <w:t>9/20</w:t>
      </w:r>
    </w:p>
    <w:p w:rsidR="00AF4A95" w:rsidRPr="00782FB6" w:rsidRDefault="00AF4A95" w:rsidP="002B3804">
      <w:pPr>
        <w:rPr>
          <w:b/>
        </w:rPr>
      </w:pPr>
    </w:p>
    <w:tbl>
      <w:tblPr>
        <w:tblW w:w="14180" w:type="dxa"/>
        <w:tblInd w:w="103" w:type="dxa"/>
        <w:tblLayout w:type="fixed"/>
        <w:tblLook w:val="04A0" w:firstRow="1" w:lastRow="0" w:firstColumn="1" w:lastColumn="0" w:noHBand="0" w:noVBand="1"/>
      </w:tblPr>
      <w:tblGrid>
        <w:gridCol w:w="2698"/>
        <w:gridCol w:w="2552"/>
        <w:gridCol w:w="1985"/>
        <w:gridCol w:w="6945"/>
      </w:tblGrid>
      <w:tr w:rsidR="00AF4A95" w:rsidRPr="00164509" w:rsidTr="005C0D7E">
        <w:trPr>
          <w:trHeight w:val="893"/>
        </w:trPr>
        <w:tc>
          <w:tcPr>
            <w:tcW w:w="26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Service areas</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Provider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rsidR="00AF4A95" w:rsidRPr="00164509" w:rsidRDefault="00AF4A95" w:rsidP="00AF4A95">
            <w:pPr>
              <w:pStyle w:val="Caption"/>
              <w:spacing w:beforeLines="60" w:before="144" w:afterLines="60" w:after="144"/>
            </w:pPr>
            <w:r>
              <w:t>Proposed a</w:t>
            </w:r>
            <w:r w:rsidRPr="002B3804">
              <w:t>llocation 201</w:t>
            </w:r>
            <w:r>
              <w:t>9</w:t>
            </w:r>
            <w:r w:rsidRPr="002B3804">
              <w:t>/</w:t>
            </w:r>
            <w:r>
              <w:t>20</w:t>
            </w:r>
          </w:p>
        </w:tc>
        <w:tc>
          <w:tcPr>
            <w:tcW w:w="6945" w:type="dxa"/>
            <w:tcBorders>
              <w:top w:val="single" w:sz="4" w:space="0" w:color="auto"/>
              <w:left w:val="nil"/>
              <w:bottom w:val="single" w:sz="4" w:space="0" w:color="auto"/>
              <w:right w:val="single" w:sz="4" w:space="0" w:color="auto"/>
            </w:tcBorders>
            <w:shd w:val="clear" w:color="000000" w:fill="D9D9D9"/>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Purpose</w:t>
            </w:r>
          </w:p>
        </w:tc>
      </w:tr>
      <w:tr w:rsidR="00AF4A95" w:rsidRPr="008B4C85" w:rsidTr="00AF4A95">
        <w:trPr>
          <w:trHeight w:val="360"/>
        </w:trPr>
        <w:tc>
          <w:tcPr>
            <w:tcW w:w="2698" w:type="dxa"/>
            <w:tcBorders>
              <w:top w:val="nil"/>
              <w:left w:val="single" w:sz="4" w:space="0" w:color="auto"/>
              <w:bottom w:val="single" w:sz="4" w:space="0" w:color="auto"/>
              <w:right w:val="single" w:sz="4" w:space="0" w:color="auto"/>
            </w:tcBorders>
            <w:shd w:val="clear" w:color="000000" w:fill="FABF8F"/>
            <w:vAlign w:val="center"/>
            <w:hideMark/>
          </w:tcPr>
          <w:p w:rsidR="00AF4A95" w:rsidRPr="008B4C85" w:rsidRDefault="00AF4A95" w:rsidP="009E7DFC">
            <w:pPr>
              <w:spacing w:beforeLines="60" w:before="144" w:afterLines="60" w:after="144"/>
              <w:jc w:val="center"/>
              <w:rPr>
                <w:rFonts w:cs="Arial"/>
                <w:b/>
                <w:bCs/>
                <w:color w:val="auto"/>
                <w:sz w:val="20"/>
                <w:szCs w:val="20"/>
              </w:rPr>
            </w:pPr>
            <w:r w:rsidRPr="008B4C85">
              <w:rPr>
                <w:rFonts w:cs="Arial"/>
                <w:b/>
                <w:bCs/>
                <w:color w:val="auto"/>
                <w:sz w:val="20"/>
                <w:szCs w:val="20"/>
              </w:rPr>
              <w:t>Supported accommodation</w:t>
            </w:r>
          </w:p>
        </w:tc>
        <w:tc>
          <w:tcPr>
            <w:tcW w:w="2552" w:type="dxa"/>
            <w:tcBorders>
              <w:top w:val="nil"/>
              <w:left w:val="nil"/>
              <w:bottom w:val="single" w:sz="4" w:space="0" w:color="auto"/>
              <w:right w:val="single" w:sz="4" w:space="0" w:color="auto"/>
            </w:tcBorders>
            <w:shd w:val="clear" w:color="000000" w:fill="FABF8F"/>
            <w:noWrap/>
            <w:vAlign w:val="center"/>
            <w:hideMark/>
          </w:tcPr>
          <w:p w:rsidR="00AF4A95" w:rsidRPr="008B4C85" w:rsidRDefault="00AF4A95" w:rsidP="009E7DFC">
            <w:pPr>
              <w:spacing w:beforeLines="60" w:before="144" w:afterLines="60" w:after="144"/>
              <w:jc w:val="center"/>
              <w:rPr>
                <w:rFonts w:cs="Arial"/>
                <w:b/>
                <w:bCs/>
                <w:color w:val="auto"/>
                <w:sz w:val="20"/>
                <w:szCs w:val="20"/>
              </w:rPr>
            </w:pPr>
            <w:r w:rsidRPr="008B4C85">
              <w:rPr>
                <w:rFonts w:cs="Arial"/>
                <w:b/>
                <w:bCs/>
                <w:color w:val="auto"/>
                <w:sz w:val="20"/>
                <w:szCs w:val="20"/>
              </w:rPr>
              <w:t> </w:t>
            </w:r>
          </w:p>
        </w:tc>
        <w:tc>
          <w:tcPr>
            <w:tcW w:w="1985" w:type="dxa"/>
            <w:tcBorders>
              <w:top w:val="nil"/>
              <w:left w:val="nil"/>
              <w:bottom w:val="single" w:sz="4" w:space="0" w:color="auto"/>
              <w:right w:val="single" w:sz="4" w:space="0" w:color="auto"/>
            </w:tcBorders>
            <w:shd w:val="clear" w:color="000000" w:fill="FABF8F"/>
            <w:vAlign w:val="center"/>
          </w:tcPr>
          <w:p w:rsidR="00AF4A95" w:rsidRPr="005C0D7E" w:rsidRDefault="005C0D7E" w:rsidP="005C0D7E">
            <w:pPr>
              <w:jc w:val="center"/>
              <w:rPr>
                <w:rFonts w:cs="Arial"/>
                <w:b/>
                <w:bCs/>
                <w:sz w:val="20"/>
                <w:szCs w:val="20"/>
              </w:rPr>
            </w:pPr>
            <w:r>
              <w:rPr>
                <w:rFonts w:cs="Arial"/>
                <w:b/>
                <w:bCs/>
                <w:sz w:val="20"/>
                <w:szCs w:val="20"/>
              </w:rPr>
              <w:t>£810,075</w:t>
            </w:r>
          </w:p>
        </w:tc>
        <w:tc>
          <w:tcPr>
            <w:tcW w:w="6945" w:type="dxa"/>
            <w:tcBorders>
              <w:top w:val="nil"/>
              <w:left w:val="nil"/>
              <w:bottom w:val="single" w:sz="4" w:space="0" w:color="auto"/>
              <w:right w:val="single" w:sz="4" w:space="0" w:color="auto"/>
            </w:tcBorders>
            <w:shd w:val="clear" w:color="000000" w:fill="FABF8F"/>
            <w:noWrap/>
            <w:vAlign w:val="center"/>
            <w:hideMark/>
          </w:tcPr>
          <w:p w:rsidR="00AF4A95" w:rsidRPr="008B4C85" w:rsidRDefault="00AF4A95" w:rsidP="009E7DFC">
            <w:pPr>
              <w:spacing w:beforeLines="60" w:before="144" w:afterLines="60" w:after="144"/>
              <w:jc w:val="center"/>
              <w:rPr>
                <w:rFonts w:cs="Arial"/>
                <w:b/>
                <w:bCs/>
                <w:color w:val="auto"/>
                <w:sz w:val="20"/>
                <w:szCs w:val="20"/>
              </w:rPr>
            </w:pPr>
            <w:r w:rsidRPr="008B4C85">
              <w:rPr>
                <w:rFonts w:cs="Arial"/>
                <w:b/>
                <w:bCs/>
                <w:color w:val="auto"/>
                <w:sz w:val="20"/>
                <w:szCs w:val="20"/>
              </w:rPr>
              <w:t> </w:t>
            </w:r>
          </w:p>
        </w:tc>
      </w:tr>
      <w:tr w:rsidR="00AF4A95" w:rsidRPr="008B4C85" w:rsidTr="00AF4A95">
        <w:trPr>
          <w:trHeight w:val="960"/>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Contribution Oxfordshire Pooled Budget</w:t>
            </w:r>
            <w:r>
              <w:rPr>
                <w:rFonts w:cs="Arial"/>
                <w:color w:val="auto"/>
                <w:sz w:val="20"/>
                <w:szCs w:val="20"/>
              </w:rPr>
              <w:t xml:space="preserve"> for the Adult Homeless Pathway</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Oxfordshire AHP / Oxfordshire CC commissioner</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8B4C85">
              <w:rPr>
                <w:rFonts w:cs="Arial"/>
                <w:color w:val="auto"/>
                <w:sz w:val="20"/>
                <w:szCs w:val="20"/>
              </w:rPr>
              <w:t>£161,700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Default="00AF4A95" w:rsidP="009E7DFC">
            <w:pPr>
              <w:spacing w:beforeLines="60" w:before="144" w:afterLines="60" w:after="144"/>
              <w:rPr>
                <w:rFonts w:cs="Arial"/>
                <w:color w:val="auto"/>
                <w:sz w:val="20"/>
                <w:szCs w:val="20"/>
              </w:rPr>
            </w:pPr>
            <w:r w:rsidRPr="008B4C85">
              <w:rPr>
                <w:rFonts w:cs="Arial"/>
                <w:color w:val="auto"/>
                <w:sz w:val="20"/>
                <w:szCs w:val="20"/>
              </w:rPr>
              <w:t>Provision of supported housing</w:t>
            </w:r>
            <w:r w:rsidR="00C62745">
              <w:rPr>
                <w:rFonts w:cs="Arial"/>
                <w:color w:val="auto"/>
                <w:sz w:val="20"/>
                <w:szCs w:val="20"/>
              </w:rPr>
              <w:t>.</w:t>
            </w:r>
          </w:p>
          <w:p w:rsidR="00C62745" w:rsidRPr="008B4C85" w:rsidRDefault="00C62745" w:rsidP="009E7DFC">
            <w:pPr>
              <w:spacing w:beforeLines="60" w:before="144" w:afterLines="60" w:after="144"/>
              <w:rPr>
                <w:rFonts w:cs="Arial"/>
                <w:color w:val="auto"/>
                <w:sz w:val="20"/>
                <w:szCs w:val="20"/>
              </w:rPr>
            </w:pPr>
            <w:r>
              <w:rPr>
                <w:rFonts w:cs="Arial"/>
                <w:color w:val="auto"/>
                <w:sz w:val="20"/>
                <w:szCs w:val="20"/>
              </w:rPr>
              <w:t>This sum plus an additional £58,000 will be required from 2020/21 in order to maintain the City Council’s membership of the pooled budget for the Adult Homeless.</w:t>
            </w:r>
          </w:p>
        </w:tc>
      </w:tr>
      <w:tr w:rsidR="00AF4A95" w:rsidRPr="008B4C85" w:rsidTr="00AF4A95">
        <w:trPr>
          <w:trHeight w:val="650"/>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NSNO Sit-up Service - O'Hanlon House</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Homeless Oxfordshire</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8B4C85">
              <w:rPr>
                <w:rFonts w:cs="Arial"/>
                <w:color w:val="auto"/>
                <w:sz w:val="20"/>
                <w:szCs w:val="20"/>
              </w:rPr>
              <w:t>£54,903</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AF4A95">
            <w:pPr>
              <w:spacing w:beforeLines="60" w:before="144" w:afterLines="60" w:after="144"/>
              <w:rPr>
                <w:rFonts w:cs="Arial"/>
                <w:color w:val="auto"/>
                <w:sz w:val="20"/>
                <w:szCs w:val="20"/>
              </w:rPr>
            </w:pPr>
            <w:r w:rsidRPr="008B4C85">
              <w:rPr>
                <w:rFonts w:cs="Arial"/>
                <w:color w:val="auto"/>
                <w:sz w:val="20"/>
                <w:szCs w:val="20"/>
              </w:rPr>
              <w:t>Funding for 10 additional spaces to help manage the high number of rough sleepers.</w:t>
            </w:r>
            <w:r>
              <w:rPr>
                <w:rFonts w:cs="Arial"/>
                <w:color w:val="auto"/>
                <w:sz w:val="20"/>
                <w:szCs w:val="20"/>
              </w:rPr>
              <w:t xml:space="preserve"> </w:t>
            </w:r>
            <w:r w:rsidRPr="00044E92">
              <w:rPr>
                <w:rFonts w:cs="Arial"/>
                <w:i/>
                <w:color w:val="auto"/>
                <w:sz w:val="20"/>
                <w:szCs w:val="20"/>
              </w:rPr>
              <w:t>Capacity increased</w:t>
            </w:r>
            <w:r>
              <w:rPr>
                <w:rFonts w:cs="Arial"/>
                <w:i/>
                <w:color w:val="auto"/>
                <w:sz w:val="20"/>
                <w:szCs w:val="20"/>
              </w:rPr>
              <w:t xml:space="preserve"> in 2018/19 and 2019/20</w:t>
            </w:r>
            <w:r w:rsidRPr="00044E92">
              <w:rPr>
                <w:rFonts w:cs="Arial"/>
                <w:i/>
                <w:color w:val="auto"/>
                <w:sz w:val="20"/>
                <w:szCs w:val="20"/>
              </w:rPr>
              <w:t xml:space="preserve"> to 20 spaces as a result of the Council being awarded RSI [Rough Sleeping Initiative] funding.</w:t>
            </w:r>
          </w:p>
        </w:tc>
      </w:tr>
      <w:tr w:rsidR="00AF4A95" w:rsidRPr="008B4C85" w:rsidTr="00AF4A95">
        <w:trPr>
          <w:trHeight w:val="11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Housing First - Julian Housing</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Homeless Oxfordshire</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8B4C85">
              <w:rPr>
                <w:rFonts w:cs="Arial"/>
                <w:color w:val="auto"/>
                <w:sz w:val="20"/>
                <w:szCs w:val="20"/>
              </w:rPr>
              <w:t>£47,850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 xml:space="preserve">Funding for 1 FTE Support Worker &amp; 0.5 FTE Peer Support Worker for this specialist housing project. Offers an alternative supported housing model aimed at getting entrenched rough sleepers permanently off the streets. </w:t>
            </w:r>
          </w:p>
        </w:tc>
      </w:tr>
      <w:tr w:rsidR="00AF4A95" w:rsidRPr="008B4C85" w:rsidTr="00AF4A95">
        <w:trPr>
          <w:trHeight w:val="1879"/>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Acacia existing x 5</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Response</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8B4C85">
              <w:rPr>
                <w:rFonts w:cs="Arial"/>
                <w:color w:val="auto"/>
                <w:sz w:val="20"/>
                <w:szCs w:val="20"/>
              </w:rPr>
              <w:t>£47,850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Pr>
                <w:rFonts w:cs="Arial"/>
                <w:color w:val="auto"/>
                <w:sz w:val="20"/>
                <w:szCs w:val="20"/>
              </w:rPr>
              <w:t xml:space="preserve">Funding for 5 </w:t>
            </w:r>
            <w:r w:rsidRPr="008B4C85">
              <w:rPr>
                <w:rFonts w:cs="Arial"/>
                <w:color w:val="auto"/>
                <w:sz w:val="20"/>
                <w:szCs w:val="20"/>
              </w:rPr>
              <w:t xml:space="preserve">units of specialist supported housing for people with complex needs. </w:t>
            </w:r>
            <w:r>
              <w:rPr>
                <w:rFonts w:cs="Arial"/>
                <w:color w:val="auto"/>
                <w:sz w:val="20"/>
                <w:szCs w:val="20"/>
              </w:rPr>
              <w:t xml:space="preserve"> </w:t>
            </w:r>
            <w:r w:rsidRPr="008B4C85">
              <w:rPr>
                <w:rFonts w:cs="Arial"/>
                <w:color w:val="auto"/>
                <w:sz w:val="20"/>
                <w:szCs w:val="20"/>
              </w:rPr>
              <w:t>The Acacia Project builds on the Housing First model and has developed as a result of recognition by housing and mental health service commissioners of an increasing number of people who “fall between the gaps” of mental health services and homelessness services, getting ineffective support from either or both due to their needs.</w:t>
            </w:r>
          </w:p>
        </w:tc>
      </w:tr>
      <w:tr w:rsidR="00AF4A95" w:rsidRPr="008B4C85" w:rsidTr="00AF4A95">
        <w:trPr>
          <w:trHeight w:val="829"/>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Acacia  additional units - pending</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Response</w:t>
            </w:r>
          </w:p>
        </w:tc>
        <w:tc>
          <w:tcPr>
            <w:tcW w:w="1985" w:type="dxa"/>
            <w:tcBorders>
              <w:top w:val="nil"/>
              <w:left w:val="nil"/>
              <w:bottom w:val="single" w:sz="4" w:space="0" w:color="auto"/>
              <w:right w:val="single" w:sz="4" w:space="0" w:color="auto"/>
            </w:tcBorders>
            <w:vAlign w:val="center"/>
          </w:tcPr>
          <w:p w:rsidR="00AF4A95" w:rsidRPr="008B4C85" w:rsidRDefault="00AF4A95" w:rsidP="005C0D7E">
            <w:pPr>
              <w:spacing w:beforeLines="60" w:before="144" w:afterLines="60" w:after="144"/>
              <w:jc w:val="center"/>
              <w:rPr>
                <w:rFonts w:cs="Arial"/>
                <w:color w:val="auto"/>
                <w:sz w:val="20"/>
                <w:szCs w:val="20"/>
              </w:rPr>
            </w:pPr>
            <w:r w:rsidRPr="008B4C85">
              <w:rPr>
                <w:rFonts w:cs="Arial"/>
                <w:color w:val="auto"/>
                <w:sz w:val="20"/>
                <w:szCs w:val="20"/>
              </w:rPr>
              <w:t>£</w:t>
            </w:r>
            <w:r w:rsidR="005C0D7E">
              <w:rPr>
                <w:rFonts w:cs="Arial"/>
                <w:color w:val="auto"/>
                <w:sz w:val="20"/>
                <w:szCs w:val="20"/>
              </w:rPr>
              <w:t>59</w:t>
            </w:r>
            <w:r w:rsidRPr="008B4C85">
              <w:rPr>
                <w:rFonts w:cs="Arial"/>
                <w:color w:val="auto"/>
                <w:sz w:val="20"/>
                <w:szCs w:val="20"/>
              </w:rPr>
              <w:t>,</w:t>
            </w:r>
            <w:r w:rsidR="005C0D7E">
              <w:rPr>
                <w:rFonts w:cs="Arial"/>
                <w:color w:val="auto"/>
                <w:sz w:val="20"/>
                <w:szCs w:val="20"/>
              </w:rPr>
              <w:t>7</w:t>
            </w:r>
            <w:r w:rsidRPr="008B4C85">
              <w:rPr>
                <w:rFonts w:cs="Arial"/>
                <w:color w:val="auto"/>
                <w:sz w:val="20"/>
                <w:szCs w:val="20"/>
              </w:rPr>
              <w:t>50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3418D4" w:rsidRDefault="00AF4A95" w:rsidP="005C0D7E">
            <w:pPr>
              <w:spacing w:beforeLines="60" w:before="144" w:afterLines="60" w:after="144"/>
              <w:rPr>
                <w:sz w:val="22"/>
              </w:rPr>
            </w:pPr>
            <w:r w:rsidRPr="008B4C85">
              <w:rPr>
                <w:rFonts w:cs="Arial"/>
                <w:color w:val="auto"/>
                <w:sz w:val="20"/>
                <w:szCs w:val="20"/>
              </w:rPr>
              <w:t>Fu</w:t>
            </w:r>
            <w:r>
              <w:rPr>
                <w:rFonts w:cs="Arial"/>
                <w:color w:val="auto"/>
                <w:sz w:val="20"/>
                <w:szCs w:val="20"/>
              </w:rPr>
              <w:t>n</w:t>
            </w:r>
            <w:r w:rsidRPr="008B4C85">
              <w:rPr>
                <w:rFonts w:cs="Arial"/>
                <w:color w:val="auto"/>
                <w:sz w:val="20"/>
                <w:szCs w:val="20"/>
              </w:rPr>
              <w:t>di</w:t>
            </w:r>
            <w:r>
              <w:rPr>
                <w:rFonts w:cs="Arial"/>
                <w:color w:val="auto"/>
                <w:sz w:val="20"/>
                <w:szCs w:val="20"/>
              </w:rPr>
              <w:t>ng was allocated from reserves in 2016/17 to fund the expansion of the Acacia project by 5 additional units of s</w:t>
            </w:r>
            <w:r w:rsidRPr="008B4C85">
              <w:rPr>
                <w:rFonts w:cs="Arial"/>
                <w:color w:val="auto"/>
                <w:sz w:val="20"/>
                <w:szCs w:val="20"/>
              </w:rPr>
              <w:t xml:space="preserve">pecialist supported housing units for people with complex needs. </w:t>
            </w:r>
            <w:r w:rsidR="005C0D7E">
              <w:rPr>
                <w:rFonts w:cs="Arial"/>
                <w:color w:val="auto"/>
                <w:sz w:val="20"/>
                <w:szCs w:val="20"/>
              </w:rPr>
              <w:t>A</w:t>
            </w:r>
            <w:r w:rsidRPr="003418D4">
              <w:rPr>
                <w:rFonts w:cs="Arial"/>
                <w:color w:val="auto"/>
                <w:sz w:val="20"/>
                <w:szCs w:val="20"/>
              </w:rPr>
              <w:t xml:space="preserve"> new combined Acacia / Housing First Service will be commissioned to deliver a total of 15 units of </w:t>
            </w:r>
            <w:r w:rsidRPr="003418D4">
              <w:rPr>
                <w:rFonts w:cs="Arial"/>
                <w:color w:val="auto"/>
                <w:sz w:val="20"/>
                <w:szCs w:val="20"/>
              </w:rPr>
              <w:lastRenderedPageBreak/>
              <w:t>accommodation from 1st April 2019.</w:t>
            </w:r>
          </w:p>
        </w:tc>
      </w:tr>
      <w:tr w:rsidR="00AF4A95" w:rsidRPr="008B4C85" w:rsidTr="00AF4A95">
        <w:trPr>
          <w:trHeight w:val="1108"/>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lastRenderedPageBreak/>
              <w:t>Project 41</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Homeless Oxfordshire</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8B4C85">
              <w:rPr>
                <w:rFonts w:cs="Arial"/>
                <w:color w:val="auto"/>
                <w:sz w:val="20"/>
                <w:szCs w:val="20"/>
              </w:rPr>
              <w:t>£</w:t>
            </w:r>
            <w:r>
              <w:rPr>
                <w:rFonts w:cs="Arial"/>
                <w:color w:val="auto"/>
                <w:sz w:val="20"/>
                <w:szCs w:val="20"/>
              </w:rPr>
              <w:t>150,000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AF4A95" w:rsidRPr="008B4C85" w:rsidTr="00AF4A95">
        <w:trPr>
          <w:trHeight w:val="1321"/>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 xml:space="preserve">SIMON HOUSE - Transitional service </w:t>
            </w:r>
            <w:r>
              <w:rPr>
                <w:rFonts w:cs="Arial"/>
                <w:color w:val="auto"/>
                <w:sz w:val="20"/>
                <w:szCs w:val="20"/>
              </w:rPr>
              <w:t>Q1 20</w:t>
            </w:r>
            <w:r w:rsidRPr="008B4C85">
              <w:rPr>
                <w:rFonts w:cs="Arial"/>
                <w:color w:val="auto"/>
                <w:sz w:val="20"/>
                <w:szCs w:val="20"/>
              </w:rPr>
              <w:t>19</w:t>
            </w:r>
            <w:r>
              <w:rPr>
                <w:rFonts w:cs="Arial"/>
                <w:color w:val="auto"/>
                <w:sz w:val="20"/>
                <w:szCs w:val="20"/>
              </w:rPr>
              <w:t>/20</w:t>
            </w:r>
            <w:r w:rsidRPr="008B4C85">
              <w:rPr>
                <w:rFonts w:cs="Arial"/>
                <w:color w:val="auto"/>
                <w:sz w:val="20"/>
                <w:szCs w:val="20"/>
              </w:rPr>
              <w:t xml:space="preserve"> </w:t>
            </w:r>
            <w:r>
              <w:rPr>
                <w:rFonts w:cs="Arial"/>
                <w:color w:val="auto"/>
                <w:sz w:val="20"/>
                <w:szCs w:val="20"/>
              </w:rPr>
              <w:t>22</w:t>
            </w:r>
            <w:r w:rsidRPr="008B4C85">
              <w:rPr>
                <w:rFonts w:cs="Arial"/>
                <w:color w:val="auto"/>
                <w:sz w:val="20"/>
                <w:szCs w:val="20"/>
              </w:rPr>
              <w:t xml:space="preserve"> units complex needs</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A2Dominion</w:t>
            </w:r>
          </w:p>
        </w:tc>
        <w:tc>
          <w:tcPr>
            <w:tcW w:w="1985" w:type="dxa"/>
            <w:tcBorders>
              <w:top w:val="nil"/>
              <w:left w:val="nil"/>
              <w:bottom w:val="single" w:sz="4" w:space="0" w:color="auto"/>
              <w:right w:val="single" w:sz="4" w:space="0" w:color="auto"/>
            </w:tcBorders>
            <w:vAlign w:val="center"/>
          </w:tcPr>
          <w:p w:rsidR="00AF4A95" w:rsidRPr="003C1BFE" w:rsidRDefault="00AF4A95" w:rsidP="00AF4A95">
            <w:pPr>
              <w:spacing w:beforeLines="60" w:before="144" w:afterLines="60" w:after="144"/>
              <w:jc w:val="center"/>
              <w:rPr>
                <w:rFonts w:cs="Arial"/>
                <w:color w:val="auto"/>
                <w:sz w:val="20"/>
                <w:szCs w:val="20"/>
              </w:rPr>
            </w:pPr>
            <w:r w:rsidRPr="003C1BFE">
              <w:rPr>
                <w:rFonts w:cs="Arial"/>
                <w:color w:val="auto"/>
                <w:sz w:val="20"/>
                <w:szCs w:val="20"/>
              </w:rPr>
              <w:t>£</w:t>
            </w:r>
            <w:r>
              <w:rPr>
                <w:rFonts w:cs="Arial"/>
                <w:color w:val="auto"/>
                <w:sz w:val="20"/>
                <w:szCs w:val="20"/>
              </w:rPr>
              <w:t>5</w:t>
            </w:r>
            <w:r w:rsidRPr="003C1BFE">
              <w:rPr>
                <w:rFonts w:cs="Arial"/>
                <w:color w:val="auto"/>
                <w:sz w:val="20"/>
                <w:szCs w:val="20"/>
              </w:rPr>
              <w:t>0,000 </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AF4A95">
            <w:pPr>
              <w:spacing w:beforeLines="60" w:before="144" w:afterLines="60" w:after="144"/>
              <w:rPr>
                <w:rFonts w:cs="Arial"/>
                <w:color w:val="auto"/>
                <w:sz w:val="20"/>
                <w:szCs w:val="20"/>
              </w:rPr>
            </w:pPr>
            <w:r w:rsidRPr="008B4C85">
              <w:rPr>
                <w:rFonts w:cs="Arial"/>
                <w:color w:val="auto"/>
                <w:sz w:val="20"/>
                <w:szCs w:val="20"/>
              </w:rPr>
              <w:t>Funding for a transitional service of up to 2</w:t>
            </w:r>
            <w:r>
              <w:rPr>
                <w:rFonts w:cs="Arial"/>
                <w:color w:val="auto"/>
                <w:sz w:val="20"/>
                <w:szCs w:val="20"/>
              </w:rPr>
              <w:t>2</w:t>
            </w:r>
            <w:r w:rsidRPr="008B4C85">
              <w:rPr>
                <w:rFonts w:cs="Arial"/>
                <w:color w:val="auto"/>
                <w:sz w:val="20"/>
                <w:szCs w:val="20"/>
              </w:rPr>
              <w:t xml:space="preserve"> units of supported accommodation at Simon House for people with complex needs and a connection to Oxford City</w:t>
            </w:r>
            <w:r>
              <w:rPr>
                <w:rFonts w:cs="Arial"/>
                <w:color w:val="auto"/>
                <w:sz w:val="20"/>
                <w:szCs w:val="20"/>
              </w:rPr>
              <w:t xml:space="preserve"> for Q1 2019/20</w:t>
            </w:r>
            <w:r w:rsidRPr="008B4C85">
              <w:rPr>
                <w:rFonts w:cs="Arial"/>
                <w:color w:val="auto"/>
                <w:sz w:val="20"/>
                <w:szCs w:val="20"/>
              </w:rPr>
              <w:t xml:space="preserve">. </w:t>
            </w:r>
          </w:p>
        </w:tc>
      </w:tr>
      <w:tr w:rsidR="00AF4A95" w:rsidRPr="008B4C85" w:rsidTr="00AF4A95">
        <w:trPr>
          <w:trHeight w:val="1423"/>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AF4A95" w:rsidRPr="008B4C85" w:rsidRDefault="00AF4A95" w:rsidP="00AF4A95">
            <w:pPr>
              <w:spacing w:beforeLines="60" w:before="144" w:afterLines="60" w:after="144"/>
              <w:rPr>
                <w:rFonts w:cs="Arial"/>
                <w:color w:val="auto"/>
                <w:sz w:val="20"/>
                <w:szCs w:val="20"/>
              </w:rPr>
            </w:pPr>
            <w:r>
              <w:rPr>
                <w:rFonts w:cs="Arial"/>
                <w:color w:val="auto"/>
                <w:sz w:val="20"/>
                <w:szCs w:val="20"/>
              </w:rPr>
              <w:t>RYMERS LANE</w:t>
            </w:r>
            <w:r w:rsidRPr="008B4C85">
              <w:rPr>
                <w:rFonts w:cs="Arial"/>
                <w:color w:val="auto"/>
                <w:sz w:val="20"/>
                <w:szCs w:val="20"/>
              </w:rPr>
              <w:t xml:space="preserve"> - Transitional service </w:t>
            </w:r>
            <w:r>
              <w:rPr>
                <w:rFonts w:cs="Arial"/>
                <w:color w:val="auto"/>
                <w:sz w:val="20"/>
                <w:szCs w:val="20"/>
              </w:rPr>
              <w:t>22</w:t>
            </w:r>
            <w:r w:rsidRPr="008B4C85">
              <w:rPr>
                <w:rFonts w:cs="Arial"/>
                <w:color w:val="auto"/>
                <w:sz w:val="20"/>
                <w:szCs w:val="20"/>
              </w:rPr>
              <w:t xml:space="preserve"> units complex needs</w:t>
            </w:r>
            <w:r>
              <w:rPr>
                <w:rFonts w:cs="Arial"/>
                <w:color w:val="auto"/>
                <w:sz w:val="20"/>
                <w:szCs w:val="20"/>
              </w:rPr>
              <w:t xml:space="preserve"> from Q2 2019/20</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DB7B7B">
            <w:pPr>
              <w:spacing w:beforeLines="60" w:before="144" w:afterLines="60" w:after="144"/>
              <w:rPr>
                <w:rFonts w:cs="Arial"/>
                <w:color w:val="auto"/>
                <w:sz w:val="20"/>
                <w:szCs w:val="20"/>
              </w:rPr>
            </w:pPr>
            <w:r w:rsidRPr="008B4C85">
              <w:rPr>
                <w:rFonts w:cs="Arial"/>
                <w:color w:val="auto"/>
                <w:sz w:val="20"/>
                <w:szCs w:val="20"/>
              </w:rPr>
              <w:t>A2Dominion</w:t>
            </w:r>
          </w:p>
        </w:tc>
        <w:tc>
          <w:tcPr>
            <w:tcW w:w="1985" w:type="dxa"/>
            <w:tcBorders>
              <w:top w:val="nil"/>
              <w:left w:val="nil"/>
              <w:bottom w:val="single" w:sz="4" w:space="0" w:color="auto"/>
              <w:right w:val="single" w:sz="4" w:space="0" w:color="auto"/>
            </w:tcBorders>
            <w:vAlign w:val="center"/>
          </w:tcPr>
          <w:p w:rsidR="00AF4A95" w:rsidRPr="003C1BFE" w:rsidRDefault="0041324E" w:rsidP="0041324E">
            <w:pPr>
              <w:jc w:val="center"/>
              <w:rPr>
                <w:rFonts w:cs="Arial"/>
                <w:color w:val="auto"/>
                <w:sz w:val="20"/>
                <w:szCs w:val="20"/>
              </w:rPr>
            </w:pPr>
            <w:r>
              <w:rPr>
                <w:rFonts w:cs="Arial"/>
                <w:sz w:val="20"/>
                <w:szCs w:val="20"/>
              </w:rPr>
              <w:t>£168,750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AF4A95">
            <w:pPr>
              <w:spacing w:beforeLines="60" w:before="144" w:afterLines="60" w:after="144"/>
              <w:rPr>
                <w:rFonts w:cs="Arial"/>
                <w:color w:val="auto"/>
                <w:sz w:val="20"/>
                <w:szCs w:val="20"/>
              </w:rPr>
            </w:pPr>
            <w:r w:rsidRPr="008B4C85">
              <w:rPr>
                <w:rFonts w:cs="Arial"/>
                <w:color w:val="auto"/>
                <w:sz w:val="20"/>
                <w:szCs w:val="20"/>
              </w:rPr>
              <w:t>Funding for 2</w:t>
            </w:r>
            <w:r>
              <w:rPr>
                <w:rFonts w:cs="Arial"/>
                <w:color w:val="auto"/>
                <w:sz w:val="20"/>
                <w:szCs w:val="20"/>
              </w:rPr>
              <w:t>2</w:t>
            </w:r>
            <w:r w:rsidRPr="008B4C85">
              <w:rPr>
                <w:rFonts w:cs="Arial"/>
                <w:color w:val="auto"/>
                <w:sz w:val="20"/>
                <w:szCs w:val="20"/>
              </w:rPr>
              <w:t xml:space="preserve"> units of supported accommodation for people with complex needs and </w:t>
            </w:r>
            <w:r>
              <w:rPr>
                <w:rFonts w:cs="Arial"/>
                <w:color w:val="auto"/>
                <w:sz w:val="20"/>
                <w:szCs w:val="20"/>
              </w:rPr>
              <w:t>15 units move on accommodation. T</w:t>
            </w:r>
            <w:r w:rsidRPr="008B4C85">
              <w:rPr>
                <w:rFonts w:cs="Arial"/>
                <w:color w:val="auto"/>
                <w:sz w:val="20"/>
                <w:szCs w:val="20"/>
              </w:rPr>
              <w:t>he new facility for rough sleepers and single ho</w:t>
            </w:r>
            <w:r>
              <w:rPr>
                <w:rFonts w:cs="Arial"/>
                <w:color w:val="auto"/>
                <w:sz w:val="20"/>
                <w:szCs w:val="20"/>
              </w:rPr>
              <w:t xml:space="preserve">meless people at </w:t>
            </w:r>
            <w:proofErr w:type="spellStart"/>
            <w:r>
              <w:rPr>
                <w:rFonts w:cs="Arial"/>
                <w:color w:val="auto"/>
                <w:sz w:val="20"/>
                <w:szCs w:val="20"/>
              </w:rPr>
              <w:t>Rymers</w:t>
            </w:r>
            <w:proofErr w:type="spellEnd"/>
            <w:r>
              <w:rPr>
                <w:rFonts w:cs="Arial"/>
                <w:color w:val="auto"/>
                <w:sz w:val="20"/>
                <w:szCs w:val="20"/>
              </w:rPr>
              <w:t xml:space="preserve"> Lane in </w:t>
            </w:r>
            <w:proofErr w:type="spellStart"/>
            <w:r>
              <w:rPr>
                <w:rFonts w:cs="Arial"/>
                <w:color w:val="auto"/>
                <w:sz w:val="20"/>
                <w:szCs w:val="20"/>
              </w:rPr>
              <w:t>Cowley</w:t>
            </w:r>
            <w:proofErr w:type="spellEnd"/>
            <w:r>
              <w:rPr>
                <w:rFonts w:cs="Arial"/>
                <w:color w:val="auto"/>
                <w:sz w:val="20"/>
                <w:szCs w:val="20"/>
              </w:rPr>
              <w:t xml:space="preserve"> is due to open Q2</w:t>
            </w:r>
            <w:r w:rsidRPr="008B4C85">
              <w:rPr>
                <w:rFonts w:cs="Arial"/>
                <w:color w:val="auto"/>
                <w:sz w:val="20"/>
                <w:szCs w:val="20"/>
              </w:rPr>
              <w:t xml:space="preserve"> 2019/20.</w:t>
            </w:r>
          </w:p>
        </w:tc>
      </w:tr>
      <w:tr w:rsidR="00AF4A95" w:rsidRPr="008B4C85" w:rsidTr="00AF4A95">
        <w:trPr>
          <w:trHeight w:val="1118"/>
        </w:trPr>
        <w:tc>
          <w:tcPr>
            <w:tcW w:w="2698" w:type="dxa"/>
            <w:tcBorders>
              <w:top w:val="nil"/>
              <w:left w:val="single" w:sz="4" w:space="0" w:color="auto"/>
              <w:bottom w:val="single" w:sz="4" w:space="0" w:color="auto"/>
              <w:right w:val="single" w:sz="4" w:space="0" w:color="auto"/>
            </w:tcBorders>
            <w:shd w:val="clear" w:color="auto" w:fill="auto"/>
            <w:vAlign w:val="center"/>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Mayday Trust 10 units</w:t>
            </w:r>
          </w:p>
        </w:tc>
        <w:tc>
          <w:tcPr>
            <w:tcW w:w="2552" w:type="dxa"/>
            <w:tcBorders>
              <w:top w:val="nil"/>
              <w:left w:val="nil"/>
              <w:bottom w:val="single" w:sz="4" w:space="0" w:color="auto"/>
              <w:right w:val="single" w:sz="4" w:space="0" w:color="auto"/>
            </w:tcBorders>
            <w:shd w:val="clear" w:color="auto" w:fill="auto"/>
            <w:noWrap/>
            <w:vAlign w:val="center"/>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Mayday Trust</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164509">
              <w:rPr>
                <w:rFonts w:cs="Arial"/>
                <w:color w:val="auto"/>
                <w:sz w:val="20"/>
                <w:szCs w:val="20"/>
              </w:rPr>
              <w:t>£39,272</w:t>
            </w:r>
          </w:p>
        </w:tc>
        <w:tc>
          <w:tcPr>
            <w:tcW w:w="6945" w:type="dxa"/>
            <w:tcBorders>
              <w:top w:val="nil"/>
              <w:left w:val="nil"/>
              <w:bottom w:val="single" w:sz="4" w:space="0" w:color="auto"/>
              <w:right w:val="single" w:sz="4" w:space="0" w:color="auto"/>
            </w:tcBorders>
            <w:shd w:val="clear" w:color="auto" w:fill="auto"/>
            <w:noWrap/>
            <w:vAlign w:val="center"/>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for 10 units of supported accommodation for people with complex needs, in dispersed locations. This allocation will retain these units of supported accommodation for rough sleepers and single homeless people which would otherwise have closed as a result of County Council funding cuts.  </w:t>
            </w:r>
          </w:p>
        </w:tc>
      </w:tr>
      <w:tr w:rsidR="00AF4A95" w:rsidRPr="008B4C85" w:rsidTr="00AF4A95">
        <w:trPr>
          <w:trHeight w:val="1118"/>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Severe Weather Beds - various</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 xml:space="preserve">Various including Homeless Oxfordshire, St Mungo's, </w:t>
            </w:r>
            <w:r>
              <w:rPr>
                <w:rFonts w:cs="Arial"/>
                <w:color w:val="auto"/>
                <w:sz w:val="20"/>
                <w:szCs w:val="20"/>
              </w:rPr>
              <w:t>Aspire</w:t>
            </w:r>
            <w:r w:rsidRPr="008B4C85">
              <w:rPr>
                <w:rFonts w:cs="Arial"/>
                <w:color w:val="auto"/>
                <w:sz w:val="20"/>
                <w:szCs w:val="20"/>
              </w:rPr>
              <w:t>, A2Dominion</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8B4C85">
              <w:rPr>
                <w:rFonts w:cs="Arial"/>
                <w:color w:val="auto"/>
                <w:sz w:val="20"/>
                <w:szCs w:val="20"/>
              </w:rPr>
              <w:t>£</w:t>
            </w:r>
            <w:r>
              <w:rPr>
                <w:rFonts w:cs="Arial"/>
                <w:color w:val="auto"/>
                <w:sz w:val="20"/>
                <w:szCs w:val="20"/>
              </w:rPr>
              <w:t>30</w:t>
            </w:r>
            <w:r w:rsidRPr="008B4C85">
              <w:rPr>
                <w:rFonts w:cs="Arial"/>
                <w:color w:val="auto"/>
                <w:sz w:val="20"/>
                <w:szCs w:val="20"/>
              </w:rPr>
              <w:t>,000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Default="00AF4A95" w:rsidP="009E7DFC">
            <w:pPr>
              <w:spacing w:beforeLines="60" w:before="144" w:afterLines="60" w:after="144"/>
              <w:rPr>
                <w:rFonts w:cs="Arial"/>
                <w:color w:val="auto"/>
                <w:sz w:val="20"/>
                <w:szCs w:val="20"/>
              </w:rPr>
            </w:pPr>
            <w:r w:rsidRPr="008B4C85">
              <w:rPr>
                <w:rFonts w:cs="Arial"/>
                <w:color w:val="auto"/>
                <w:sz w:val="20"/>
                <w:szCs w:val="20"/>
              </w:rPr>
              <w:t xml:space="preserve">Funding to provide </w:t>
            </w:r>
            <w:r>
              <w:rPr>
                <w:rFonts w:cs="Arial"/>
                <w:color w:val="auto"/>
                <w:sz w:val="20"/>
                <w:szCs w:val="20"/>
              </w:rPr>
              <w:t>additional emergency bed spaces</w:t>
            </w:r>
            <w:r w:rsidRPr="008B4C85">
              <w:rPr>
                <w:rFonts w:cs="Arial"/>
                <w:color w:val="auto"/>
                <w:sz w:val="20"/>
                <w:szCs w:val="20"/>
              </w:rPr>
              <w:t xml:space="preserve"> in periods of severe weather for all rough sleepers who need them. </w:t>
            </w:r>
          </w:p>
          <w:p w:rsidR="00AF4A95" w:rsidRPr="008B4C85" w:rsidRDefault="00AF4A95" w:rsidP="009E7DFC">
            <w:pPr>
              <w:spacing w:beforeLines="60" w:before="144" w:afterLines="60" w:after="144"/>
              <w:rPr>
                <w:rFonts w:cs="Arial"/>
                <w:color w:val="auto"/>
                <w:sz w:val="20"/>
                <w:szCs w:val="20"/>
              </w:rPr>
            </w:pPr>
          </w:p>
        </w:tc>
      </w:tr>
      <w:tr w:rsidR="00AF4A95" w:rsidRPr="00164509" w:rsidTr="00AF4A95">
        <w:trPr>
          <w:trHeight w:val="547"/>
        </w:trPr>
        <w:tc>
          <w:tcPr>
            <w:tcW w:w="2698" w:type="dxa"/>
            <w:tcBorders>
              <w:top w:val="nil"/>
              <w:left w:val="single" w:sz="4" w:space="0" w:color="auto"/>
              <w:bottom w:val="single" w:sz="4" w:space="0" w:color="auto"/>
              <w:right w:val="single" w:sz="4" w:space="0" w:color="auto"/>
            </w:tcBorders>
            <w:shd w:val="clear" w:color="000000" w:fill="B1A0C7"/>
            <w:vAlign w:val="center"/>
            <w:hideMark/>
          </w:tcPr>
          <w:p w:rsidR="00AF4A95" w:rsidRPr="00164509" w:rsidRDefault="00AF4A95" w:rsidP="009E7DFC">
            <w:pPr>
              <w:spacing w:beforeLines="60" w:before="144" w:afterLines="60" w:after="144"/>
              <w:jc w:val="center"/>
              <w:rPr>
                <w:rFonts w:cs="Arial"/>
                <w:b/>
                <w:bCs/>
                <w:color w:val="FFFFFF"/>
                <w:sz w:val="20"/>
                <w:szCs w:val="20"/>
              </w:rPr>
            </w:pPr>
            <w:r w:rsidRPr="00164509">
              <w:rPr>
                <w:rFonts w:cs="Arial"/>
                <w:b/>
                <w:bCs/>
                <w:color w:val="FFFFFF"/>
                <w:sz w:val="20"/>
                <w:szCs w:val="20"/>
              </w:rPr>
              <w:t>Street Engagement</w:t>
            </w:r>
          </w:p>
        </w:tc>
        <w:tc>
          <w:tcPr>
            <w:tcW w:w="2552" w:type="dxa"/>
            <w:tcBorders>
              <w:top w:val="nil"/>
              <w:left w:val="nil"/>
              <w:bottom w:val="single" w:sz="4" w:space="0" w:color="auto"/>
              <w:right w:val="single" w:sz="4" w:space="0" w:color="auto"/>
            </w:tcBorders>
            <w:shd w:val="clear" w:color="000000" w:fill="B1A0C7"/>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985" w:type="dxa"/>
            <w:tcBorders>
              <w:top w:val="single" w:sz="4" w:space="0" w:color="auto"/>
              <w:left w:val="nil"/>
              <w:bottom w:val="single" w:sz="4" w:space="0" w:color="auto"/>
              <w:right w:val="single" w:sz="4" w:space="0" w:color="auto"/>
            </w:tcBorders>
            <w:shd w:val="clear" w:color="000000" w:fill="B1A0C7"/>
            <w:vAlign w:val="center"/>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£398,393</w:t>
            </w:r>
          </w:p>
        </w:tc>
        <w:tc>
          <w:tcPr>
            <w:tcW w:w="6945" w:type="dxa"/>
            <w:tcBorders>
              <w:top w:val="nil"/>
              <w:left w:val="nil"/>
              <w:bottom w:val="single" w:sz="4" w:space="0" w:color="auto"/>
              <w:right w:val="single" w:sz="4" w:space="0" w:color="auto"/>
            </w:tcBorders>
            <w:shd w:val="clear" w:color="000000" w:fill="B1A0C7"/>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AF4A95" w:rsidRPr="00164509" w:rsidTr="00AF4A95">
        <w:trPr>
          <w:trHeight w:val="1703"/>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lastRenderedPageBreak/>
              <w:t>Street Outreach and Single Homeless Service - St Mungo's Broadway</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St Mungo's</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8B4C85">
              <w:rPr>
                <w:rFonts w:cs="Arial"/>
                <w:color w:val="auto"/>
                <w:sz w:val="20"/>
                <w:szCs w:val="20"/>
              </w:rPr>
              <w:t>£</w:t>
            </w:r>
            <w:r>
              <w:rPr>
                <w:rFonts w:cs="Arial"/>
                <w:color w:val="auto"/>
                <w:sz w:val="20"/>
                <w:szCs w:val="20"/>
              </w:rPr>
              <w:t>350,893</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AF4A95">
            <w:pPr>
              <w:spacing w:beforeLines="60" w:before="144" w:afterLines="60" w:after="144"/>
              <w:rPr>
                <w:rFonts w:cs="Arial"/>
                <w:color w:val="auto"/>
                <w:sz w:val="20"/>
                <w:szCs w:val="20"/>
              </w:rPr>
            </w:pPr>
            <w:r w:rsidRPr="00164509">
              <w:rPr>
                <w:rFonts w:cs="Arial"/>
                <w:color w:val="auto"/>
                <w:sz w:val="20"/>
                <w:szCs w:val="20"/>
              </w:rPr>
              <w:t>Funding for a team of 9 FTE to deliver a</w:t>
            </w:r>
            <w:r>
              <w:rPr>
                <w:rFonts w:cs="Arial"/>
                <w:color w:val="auto"/>
                <w:sz w:val="20"/>
                <w:szCs w:val="20"/>
              </w:rPr>
              <w:t>n</w:t>
            </w:r>
            <w:r w:rsidRPr="00164509">
              <w:rPr>
                <w:rFonts w:cs="Arial"/>
                <w:color w:val="auto"/>
                <w:sz w:val="20"/>
                <w:szCs w:val="20"/>
              </w:rPr>
              <w:t xml:space="preserve"> assertive outreach, reconnection, personalisation and advice service for rough sleepers and single homeless people. The team helps rough sleepers to access suitable accommodation and support in the City, Oxfordshire and elsewhere with the aim of reducing the number of people who spend a second night on the street, live on or return to the streets.</w:t>
            </w:r>
            <w:r>
              <w:rPr>
                <w:rFonts w:cs="Arial"/>
                <w:color w:val="auto"/>
                <w:sz w:val="20"/>
                <w:szCs w:val="20"/>
              </w:rPr>
              <w:t xml:space="preserve"> </w:t>
            </w:r>
            <w:r w:rsidRPr="00044E92">
              <w:rPr>
                <w:rFonts w:cs="Arial"/>
                <w:i/>
                <w:color w:val="auto"/>
                <w:sz w:val="20"/>
                <w:szCs w:val="20"/>
              </w:rPr>
              <w:t>Capacity increased</w:t>
            </w:r>
            <w:r>
              <w:rPr>
                <w:rFonts w:cs="Arial"/>
                <w:i/>
                <w:color w:val="auto"/>
                <w:sz w:val="20"/>
                <w:szCs w:val="20"/>
              </w:rPr>
              <w:t xml:space="preserve"> in 2018/19 and 2019/20</w:t>
            </w:r>
            <w:r w:rsidRPr="00044E92">
              <w:rPr>
                <w:rFonts w:cs="Arial"/>
                <w:i/>
                <w:color w:val="auto"/>
                <w:sz w:val="20"/>
                <w:szCs w:val="20"/>
              </w:rPr>
              <w:t xml:space="preserve"> as a result of the Council being awarded RSI [Rough Sleeping Initiative] funding.</w:t>
            </w:r>
          </w:p>
        </w:tc>
      </w:tr>
      <w:tr w:rsidR="00AF4A95" w:rsidRPr="00164509" w:rsidTr="00AF4A95">
        <w:trPr>
          <w:trHeight w:val="1214"/>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Rough Sleeping &amp; Street activity service - TVP</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Thames Valley Police</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£30,000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AF4A95" w:rsidRPr="00164509" w:rsidTr="00AF4A95">
        <w:trPr>
          <w:trHeight w:val="360"/>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City Centre Ambassadors</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£17,500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tc>
      </w:tr>
      <w:tr w:rsidR="00AF4A95" w:rsidRPr="00164509" w:rsidTr="00AF4A95">
        <w:trPr>
          <w:trHeight w:val="529"/>
        </w:trPr>
        <w:tc>
          <w:tcPr>
            <w:tcW w:w="2698" w:type="dxa"/>
            <w:tcBorders>
              <w:top w:val="nil"/>
              <w:left w:val="single" w:sz="4" w:space="0" w:color="auto"/>
              <w:bottom w:val="single" w:sz="4" w:space="0" w:color="auto"/>
              <w:right w:val="single" w:sz="4" w:space="0" w:color="auto"/>
            </w:tcBorders>
            <w:shd w:val="clear" w:color="000000" w:fill="8DB4E2"/>
            <w:vAlign w:val="center"/>
            <w:hideMark/>
          </w:tcPr>
          <w:p w:rsidR="00AF4A95" w:rsidRPr="00164509" w:rsidRDefault="00AF4A95" w:rsidP="009E7DFC">
            <w:pPr>
              <w:spacing w:beforeLines="60" w:before="144" w:afterLines="60" w:after="144"/>
              <w:jc w:val="center"/>
              <w:rPr>
                <w:rFonts w:cs="Arial"/>
                <w:b/>
                <w:bCs/>
                <w:color w:val="FFFFFF"/>
                <w:sz w:val="20"/>
                <w:szCs w:val="20"/>
              </w:rPr>
            </w:pPr>
            <w:r w:rsidRPr="00164509">
              <w:rPr>
                <w:rFonts w:cs="Arial"/>
                <w:b/>
                <w:bCs/>
                <w:color w:val="FFFFFF"/>
                <w:sz w:val="20"/>
                <w:szCs w:val="20"/>
              </w:rPr>
              <w:t>Preventing homelessness</w:t>
            </w:r>
          </w:p>
        </w:tc>
        <w:tc>
          <w:tcPr>
            <w:tcW w:w="2552" w:type="dxa"/>
            <w:tcBorders>
              <w:top w:val="nil"/>
              <w:left w:val="nil"/>
              <w:bottom w:val="single" w:sz="4" w:space="0" w:color="auto"/>
              <w:right w:val="single" w:sz="4" w:space="0" w:color="auto"/>
            </w:tcBorders>
            <w:shd w:val="clear" w:color="000000" w:fill="8DB4E2"/>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985" w:type="dxa"/>
            <w:tcBorders>
              <w:top w:val="single" w:sz="4" w:space="0" w:color="auto"/>
              <w:left w:val="nil"/>
              <w:bottom w:val="single" w:sz="4" w:space="0" w:color="auto"/>
              <w:right w:val="single" w:sz="4" w:space="0" w:color="auto"/>
            </w:tcBorders>
            <w:shd w:val="clear" w:color="000000" w:fill="8DB4E2"/>
            <w:vAlign w:val="center"/>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£163,630</w:t>
            </w:r>
          </w:p>
        </w:tc>
        <w:tc>
          <w:tcPr>
            <w:tcW w:w="6945" w:type="dxa"/>
            <w:tcBorders>
              <w:top w:val="nil"/>
              <w:left w:val="nil"/>
              <w:bottom w:val="single" w:sz="4" w:space="0" w:color="auto"/>
              <w:right w:val="single" w:sz="4" w:space="0" w:color="auto"/>
            </w:tcBorders>
            <w:shd w:val="clear" w:color="000000" w:fill="8DB4E2"/>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AF4A95" w:rsidRPr="00164509" w:rsidTr="00AF4A95">
        <w:trPr>
          <w:trHeight w:val="692"/>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Tenancy Sustainment Officer - Elmore </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Elmore Community Services</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£35,630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for 1 FTE specialist sustainment officer to support residents in Oxford City Council accommodation to maintain their tenancies. </w:t>
            </w:r>
          </w:p>
        </w:tc>
      </w:tr>
      <w:tr w:rsidR="00AF4A95" w:rsidRPr="00164509" w:rsidTr="00AF4A95">
        <w:trPr>
          <w:trHeight w:val="561"/>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Pre-tenancy training course - Connection</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Connection Support</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£16,000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Funding to provide courses to help 50 people develop a range of skills that will enable them to become tenancy ready.</w:t>
            </w:r>
          </w:p>
        </w:tc>
      </w:tr>
      <w:tr w:rsidR="00AF4A95" w:rsidRPr="00164509" w:rsidTr="00AF4A95">
        <w:trPr>
          <w:trHeight w:val="711"/>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Welfare Reform Outreach Team</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£82,000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Funding contribution towards the work of a team focussing on the impact of welfare reform across the City</w:t>
            </w:r>
          </w:p>
        </w:tc>
      </w:tr>
      <w:tr w:rsidR="00AF4A95" w:rsidRPr="00164509" w:rsidTr="00AF4A95">
        <w:trPr>
          <w:trHeight w:val="647"/>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Target Hardening/Sanctuary Scheme</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£30,000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provided for a post in the Anti-Social Behaviour Team to support victims of domestic abuse and enable them to stay in their own homes. </w:t>
            </w:r>
          </w:p>
        </w:tc>
      </w:tr>
      <w:tr w:rsidR="00AF4A95" w:rsidRPr="00164509" w:rsidTr="00AF4A95">
        <w:trPr>
          <w:trHeight w:val="730"/>
        </w:trPr>
        <w:tc>
          <w:tcPr>
            <w:tcW w:w="2698" w:type="dxa"/>
            <w:tcBorders>
              <w:top w:val="nil"/>
              <w:left w:val="single" w:sz="4" w:space="0" w:color="auto"/>
              <w:bottom w:val="single" w:sz="4" w:space="0" w:color="auto"/>
              <w:right w:val="single" w:sz="4" w:space="0" w:color="auto"/>
            </w:tcBorders>
            <w:shd w:val="clear" w:color="000000" w:fill="B7DEE8"/>
            <w:vAlign w:val="center"/>
            <w:hideMark/>
          </w:tcPr>
          <w:p w:rsidR="00AF4A95" w:rsidRPr="00164509" w:rsidRDefault="00AF4A95" w:rsidP="00C62745">
            <w:pPr>
              <w:spacing w:beforeLines="60" w:before="144" w:afterLines="60" w:after="144"/>
              <w:rPr>
                <w:rFonts w:cs="Arial"/>
                <w:b/>
                <w:bCs/>
                <w:color w:val="auto"/>
                <w:sz w:val="20"/>
                <w:szCs w:val="20"/>
              </w:rPr>
            </w:pPr>
            <w:r w:rsidRPr="00164509">
              <w:rPr>
                <w:rFonts w:cs="Arial"/>
                <w:b/>
                <w:bCs/>
                <w:color w:val="auto"/>
                <w:sz w:val="20"/>
                <w:szCs w:val="20"/>
              </w:rPr>
              <w:t xml:space="preserve">Positive activities &amp; </w:t>
            </w:r>
            <w:r>
              <w:rPr>
                <w:rFonts w:cs="Arial"/>
                <w:b/>
                <w:bCs/>
                <w:color w:val="auto"/>
                <w:sz w:val="20"/>
                <w:szCs w:val="20"/>
              </w:rPr>
              <w:t xml:space="preserve">help </w:t>
            </w:r>
            <w:r>
              <w:rPr>
                <w:rFonts w:cs="Arial"/>
                <w:b/>
                <w:bCs/>
                <w:color w:val="auto"/>
                <w:sz w:val="20"/>
                <w:szCs w:val="20"/>
              </w:rPr>
              <w:lastRenderedPageBreak/>
              <w:t>to get into work</w:t>
            </w:r>
          </w:p>
        </w:tc>
        <w:tc>
          <w:tcPr>
            <w:tcW w:w="2552" w:type="dxa"/>
            <w:tcBorders>
              <w:top w:val="nil"/>
              <w:left w:val="nil"/>
              <w:bottom w:val="single" w:sz="4" w:space="0" w:color="auto"/>
              <w:right w:val="single" w:sz="4" w:space="0" w:color="auto"/>
            </w:tcBorders>
            <w:shd w:val="clear" w:color="000000" w:fill="B7DEE8"/>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lastRenderedPageBreak/>
              <w:t> </w:t>
            </w:r>
          </w:p>
        </w:tc>
        <w:tc>
          <w:tcPr>
            <w:tcW w:w="1985" w:type="dxa"/>
            <w:tcBorders>
              <w:top w:val="single" w:sz="4" w:space="0" w:color="auto"/>
              <w:left w:val="nil"/>
              <w:bottom w:val="single" w:sz="4" w:space="0" w:color="auto"/>
              <w:right w:val="single" w:sz="4" w:space="0" w:color="auto"/>
            </w:tcBorders>
            <w:shd w:val="clear" w:color="000000" w:fill="B7DEE8"/>
            <w:vAlign w:val="center"/>
          </w:tcPr>
          <w:p w:rsidR="00AF4A95" w:rsidRPr="00164509" w:rsidRDefault="00AF4A95" w:rsidP="00AF4A95">
            <w:pPr>
              <w:spacing w:beforeLines="60" w:before="144" w:afterLines="60" w:after="144"/>
              <w:jc w:val="center"/>
              <w:rPr>
                <w:rFonts w:cs="Arial"/>
                <w:b/>
                <w:bCs/>
                <w:color w:val="auto"/>
                <w:sz w:val="20"/>
                <w:szCs w:val="20"/>
              </w:rPr>
            </w:pPr>
            <w:r w:rsidRPr="00164509">
              <w:rPr>
                <w:rFonts w:cs="Arial"/>
                <w:b/>
                <w:bCs/>
                <w:color w:val="auto"/>
                <w:sz w:val="20"/>
                <w:szCs w:val="20"/>
              </w:rPr>
              <w:t>£2</w:t>
            </w:r>
            <w:r>
              <w:rPr>
                <w:rFonts w:cs="Arial"/>
                <w:b/>
                <w:bCs/>
                <w:color w:val="auto"/>
                <w:sz w:val="20"/>
                <w:szCs w:val="20"/>
              </w:rPr>
              <w:t>2</w:t>
            </w:r>
            <w:r w:rsidRPr="00164509">
              <w:rPr>
                <w:rFonts w:cs="Arial"/>
                <w:b/>
                <w:bCs/>
                <w:color w:val="auto"/>
                <w:sz w:val="20"/>
                <w:szCs w:val="20"/>
              </w:rPr>
              <w:t>4</w:t>
            </w:r>
            <w:r>
              <w:rPr>
                <w:rFonts w:cs="Arial"/>
                <w:b/>
                <w:bCs/>
                <w:color w:val="auto"/>
                <w:sz w:val="20"/>
                <w:szCs w:val="20"/>
              </w:rPr>
              <w:t>,106</w:t>
            </w:r>
          </w:p>
        </w:tc>
        <w:tc>
          <w:tcPr>
            <w:tcW w:w="6945" w:type="dxa"/>
            <w:tcBorders>
              <w:top w:val="nil"/>
              <w:left w:val="nil"/>
              <w:bottom w:val="single" w:sz="4" w:space="0" w:color="auto"/>
              <w:right w:val="single" w:sz="4" w:space="0" w:color="auto"/>
            </w:tcBorders>
            <w:shd w:val="clear" w:color="000000" w:fill="B7DEE8"/>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AF4A95" w:rsidRPr="00164509" w:rsidTr="00AF4A95">
        <w:trPr>
          <w:trHeight w:val="1123"/>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lastRenderedPageBreak/>
              <w:t xml:space="preserve">O'Hanlon House Day Centre </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Homeless Oxfordshire</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£82,778</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Funding for provision of day services – showers and laundry facilities as well as breakfast and lunch and any other activities taking place – for individuals rough sleeping in the City and working with outreach services to access suitable accommodation.</w:t>
            </w:r>
          </w:p>
        </w:tc>
      </w:tr>
      <w:tr w:rsidR="00AF4A95" w:rsidRPr="00164509" w:rsidTr="00AF4A95">
        <w:trPr>
          <w:trHeight w:val="700"/>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Gatehouse Café</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Gatehouse</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£5,580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Core funding for the Gatehouse café, to support and engage hard to reach clients to access accommodation and specialist support </w:t>
            </w:r>
          </w:p>
        </w:tc>
      </w:tr>
      <w:tr w:rsidR="00AF4A95" w:rsidRPr="00164509" w:rsidTr="00AF4A95">
        <w:trPr>
          <w:trHeight w:val="1136"/>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The Porch Day Centre</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The Porch</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£55,000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Core funding for The Porch (formerly known as </w:t>
            </w:r>
            <w:proofErr w:type="spellStart"/>
            <w:r w:rsidRPr="00164509">
              <w:rPr>
                <w:rFonts w:cs="Arial"/>
                <w:color w:val="auto"/>
                <w:sz w:val="20"/>
                <w:szCs w:val="20"/>
              </w:rPr>
              <w:t>Steppin</w:t>
            </w:r>
            <w:proofErr w:type="spellEnd"/>
            <w:r w:rsidRPr="00164509">
              <w:rPr>
                <w:rFonts w:cs="Arial"/>
                <w:color w:val="auto"/>
                <w:sz w:val="20"/>
                <w:szCs w:val="20"/>
              </w:rPr>
              <w:t xml:space="preserve">’ Stone) daycentre to support rough sleepers and those vulnerably housed through a range of activities, training and education and where appropriate sign post clients to more appropriate services. </w:t>
            </w:r>
          </w:p>
        </w:tc>
      </w:tr>
      <w:tr w:rsidR="00AF4A95" w:rsidRPr="00164509"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Aspire </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Aspire Oxford</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£77,623</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for 2 FTE Education, Training and Employment workers to provide training and employment opportunities for homeless and/or vulnerably housed individuals in the City. Aspire is a social enterprise working towards becoming self-sufficient. </w:t>
            </w:r>
          </w:p>
        </w:tc>
      </w:tr>
      <w:tr w:rsidR="005C5844" w:rsidRPr="005C5844"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5C5844" w:rsidRDefault="00671D34" w:rsidP="009E7DFC">
            <w:pPr>
              <w:spacing w:beforeLines="60" w:before="144" w:afterLines="60" w:after="144"/>
              <w:rPr>
                <w:rFonts w:cs="Arial"/>
                <w:i/>
                <w:color w:val="auto"/>
                <w:sz w:val="20"/>
                <w:szCs w:val="20"/>
              </w:rPr>
            </w:pPr>
            <w:r w:rsidRPr="005C5844">
              <w:rPr>
                <w:rFonts w:cs="Arial"/>
                <w:i/>
                <w:color w:val="auto"/>
                <w:sz w:val="20"/>
                <w:szCs w:val="20"/>
              </w:rPr>
              <w:t>Second-hand furniture store</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5C5844" w:rsidRDefault="00671D34" w:rsidP="009E7DFC">
            <w:pPr>
              <w:spacing w:beforeLines="60" w:before="144" w:afterLines="60" w:after="144"/>
              <w:rPr>
                <w:rFonts w:cs="Arial"/>
                <w:i/>
                <w:color w:val="auto"/>
                <w:sz w:val="20"/>
                <w:szCs w:val="20"/>
              </w:rPr>
            </w:pPr>
            <w:r w:rsidRPr="005C5844">
              <w:rPr>
                <w:rFonts w:cs="Arial"/>
                <w:i/>
                <w:color w:val="auto"/>
                <w:sz w:val="20"/>
                <w:szCs w:val="20"/>
              </w:rPr>
              <w:t>Emmaus</w:t>
            </w:r>
          </w:p>
        </w:tc>
        <w:tc>
          <w:tcPr>
            <w:tcW w:w="1985" w:type="dxa"/>
            <w:tcBorders>
              <w:top w:val="single" w:sz="4" w:space="0" w:color="auto"/>
              <w:left w:val="nil"/>
              <w:bottom w:val="single" w:sz="4" w:space="0" w:color="auto"/>
              <w:right w:val="single" w:sz="4" w:space="0" w:color="auto"/>
            </w:tcBorders>
            <w:vAlign w:val="center"/>
          </w:tcPr>
          <w:p w:rsidR="00AF4A95" w:rsidRPr="005C5844" w:rsidRDefault="00AF4A95" w:rsidP="009E7DFC">
            <w:pPr>
              <w:spacing w:beforeLines="60" w:before="144" w:afterLines="60" w:after="144"/>
              <w:jc w:val="center"/>
              <w:rPr>
                <w:rFonts w:cs="Arial"/>
                <w:i/>
                <w:color w:val="auto"/>
                <w:sz w:val="20"/>
                <w:szCs w:val="20"/>
              </w:rPr>
            </w:pPr>
            <w:r w:rsidRPr="005C5844">
              <w:rPr>
                <w:rFonts w:cs="Arial"/>
                <w:i/>
                <w:color w:val="auto"/>
                <w:sz w:val="20"/>
                <w:szCs w:val="20"/>
              </w:rPr>
              <w:t>£</w:t>
            </w:r>
            <w:r w:rsidR="00671D34" w:rsidRPr="005C5844">
              <w:rPr>
                <w:rFonts w:cs="Arial"/>
                <w:i/>
                <w:color w:val="auto"/>
                <w:sz w:val="20"/>
                <w:szCs w:val="20"/>
              </w:rPr>
              <w:t>5,00</w:t>
            </w:r>
            <w:r w:rsidRPr="005C5844">
              <w:rPr>
                <w:rFonts w:cs="Arial"/>
                <w:i/>
                <w:color w:val="auto"/>
                <w:sz w:val="20"/>
                <w:szCs w:val="20"/>
              </w:rPr>
              <w:t>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5C5844" w:rsidRDefault="00671D34" w:rsidP="00671D34">
            <w:pPr>
              <w:spacing w:beforeLines="60" w:before="144" w:afterLines="60" w:after="144"/>
              <w:rPr>
                <w:rFonts w:cs="Arial"/>
                <w:i/>
                <w:color w:val="auto"/>
                <w:sz w:val="20"/>
                <w:szCs w:val="20"/>
              </w:rPr>
            </w:pPr>
            <w:r w:rsidRPr="005C5844">
              <w:rPr>
                <w:rFonts w:cs="Arial"/>
                <w:i/>
                <w:color w:val="auto"/>
                <w:sz w:val="20"/>
                <w:szCs w:val="20"/>
              </w:rPr>
              <w:t xml:space="preserve">Funding for Emmaus to provide accommodation in their community and work opportunities in their second-hand furniture social enterprise, tapering to £0 in 2020/21 when the business is expected to be financially self-sustaining. </w:t>
            </w:r>
          </w:p>
        </w:tc>
      </w:tr>
      <w:tr w:rsidR="00AF4A95" w:rsidRPr="00164509" w:rsidTr="00AF4A95">
        <w:trPr>
          <w:trHeight w:val="983"/>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Service Broker - The Big Issue Foundation</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The Big Issue Foundation</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AF4A95">
            <w:pPr>
              <w:spacing w:beforeLines="60" w:before="144" w:afterLines="60" w:after="144"/>
              <w:jc w:val="center"/>
              <w:rPr>
                <w:rFonts w:cs="Arial"/>
                <w:color w:val="auto"/>
                <w:sz w:val="20"/>
                <w:szCs w:val="20"/>
              </w:rPr>
            </w:pPr>
            <w:r w:rsidRPr="00164509">
              <w:rPr>
                <w:rFonts w:cs="Arial"/>
                <w:color w:val="auto"/>
                <w:sz w:val="20"/>
                <w:szCs w:val="20"/>
              </w:rPr>
              <w:t>£</w:t>
            </w:r>
            <w:r>
              <w:rPr>
                <w:rFonts w:cs="Arial"/>
                <w:color w:val="auto"/>
                <w:sz w:val="20"/>
                <w:szCs w:val="20"/>
              </w:rPr>
              <w:t>3,125</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C27181" w:rsidP="00C27181">
            <w:pPr>
              <w:spacing w:beforeLines="60" w:before="144" w:afterLines="60" w:after="144"/>
              <w:rPr>
                <w:rFonts w:cs="Arial"/>
                <w:color w:val="auto"/>
                <w:sz w:val="20"/>
                <w:szCs w:val="20"/>
              </w:rPr>
            </w:pPr>
            <w:r>
              <w:rPr>
                <w:rFonts w:cs="Arial"/>
                <w:color w:val="auto"/>
                <w:sz w:val="20"/>
                <w:szCs w:val="20"/>
              </w:rPr>
              <w:t xml:space="preserve">The Big Issue Foundation was previously funded to support Big Issue </w:t>
            </w:r>
            <w:r w:rsidR="00AF4A95" w:rsidRPr="00164509">
              <w:rPr>
                <w:rFonts w:cs="Arial"/>
                <w:color w:val="auto"/>
                <w:sz w:val="20"/>
                <w:szCs w:val="20"/>
              </w:rPr>
              <w:t>sellers into accommodation and into sustainable work opportunities.</w:t>
            </w:r>
            <w:r>
              <w:rPr>
                <w:rFonts w:cs="Arial"/>
                <w:color w:val="auto"/>
                <w:sz w:val="20"/>
                <w:szCs w:val="20"/>
              </w:rPr>
              <w:t xml:space="preserve"> However, service performance has been unsatisfactory and these objectives have not been achieved. It is felt that this has been due to a lack of alignment between the Service and the City Council’s aim to move people off the street and away from vending the magazine longer term. </w:t>
            </w:r>
          </w:p>
        </w:tc>
      </w:tr>
      <w:tr w:rsidR="00AF4A95" w:rsidRPr="00164509" w:rsidTr="00AF4A95">
        <w:trPr>
          <w:trHeight w:val="255"/>
        </w:trPr>
        <w:tc>
          <w:tcPr>
            <w:tcW w:w="2698" w:type="dxa"/>
            <w:tcBorders>
              <w:top w:val="nil"/>
              <w:left w:val="single" w:sz="4" w:space="0" w:color="auto"/>
              <w:bottom w:val="single" w:sz="4" w:space="0" w:color="auto"/>
              <w:right w:val="nil"/>
            </w:tcBorders>
            <w:shd w:val="clear" w:color="000000" w:fill="FFFF00"/>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Priority Services for Young People</w:t>
            </w:r>
          </w:p>
        </w:tc>
        <w:tc>
          <w:tcPr>
            <w:tcW w:w="2552" w:type="dxa"/>
            <w:tcBorders>
              <w:top w:val="single" w:sz="4" w:space="0" w:color="auto"/>
              <w:left w:val="nil"/>
              <w:bottom w:val="single" w:sz="4" w:space="0" w:color="auto"/>
              <w:right w:val="nil"/>
            </w:tcBorders>
            <w:shd w:val="clear" w:color="000000" w:fill="FFFF00"/>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985" w:type="dxa"/>
            <w:tcBorders>
              <w:top w:val="single" w:sz="4" w:space="0" w:color="auto"/>
              <w:left w:val="nil"/>
              <w:bottom w:val="single" w:sz="4" w:space="0" w:color="auto"/>
              <w:right w:val="single" w:sz="4" w:space="0" w:color="auto"/>
            </w:tcBorders>
            <w:shd w:val="clear" w:color="000000" w:fill="FFFF00"/>
            <w:vAlign w:val="center"/>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£6,134</w:t>
            </w:r>
          </w:p>
        </w:tc>
        <w:tc>
          <w:tcPr>
            <w:tcW w:w="6945" w:type="dxa"/>
            <w:tcBorders>
              <w:top w:val="single" w:sz="4" w:space="0" w:color="auto"/>
              <w:left w:val="nil"/>
              <w:bottom w:val="single" w:sz="4" w:space="0" w:color="auto"/>
              <w:right w:val="nil"/>
            </w:tcBorders>
            <w:shd w:val="clear" w:color="000000" w:fill="FFFF00"/>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bookmarkStart w:id="0" w:name="_GoBack"/>
            <w:bookmarkEnd w:id="0"/>
          </w:p>
        </w:tc>
      </w:tr>
      <w:tr w:rsidR="00AF4A95" w:rsidRPr="00164509" w:rsidTr="00AF4A95">
        <w:trPr>
          <w:trHeight w:val="663"/>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lastRenderedPageBreak/>
              <w:t>Emergency Bed for Young Person in Oxford city</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Oxfordshire County Council</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£6,134</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Funding provides one emergency bed within the Young Person’s pathway for use by Oxford City.</w:t>
            </w:r>
          </w:p>
        </w:tc>
      </w:tr>
      <w:tr w:rsidR="00AF4A95" w:rsidRPr="00164509" w:rsidTr="00AF4A95">
        <w:trPr>
          <w:trHeight w:val="445"/>
        </w:trPr>
        <w:tc>
          <w:tcPr>
            <w:tcW w:w="2698" w:type="dxa"/>
            <w:tcBorders>
              <w:top w:val="nil"/>
              <w:left w:val="single" w:sz="4" w:space="0" w:color="auto"/>
              <w:bottom w:val="nil"/>
              <w:right w:val="single" w:sz="4" w:space="0" w:color="auto"/>
            </w:tcBorders>
            <w:shd w:val="clear" w:color="000000" w:fill="DA9694"/>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Other</w:t>
            </w:r>
          </w:p>
        </w:tc>
        <w:tc>
          <w:tcPr>
            <w:tcW w:w="2552" w:type="dxa"/>
            <w:tcBorders>
              <w:top w:val="nil"/>
              <w:left w:val="nil"/>
              <w:bottom w:val="nil"/>
              <w:right w:val="single" w:sz="4" w:space="0" w:color="auto"/>
            </w:tcBorders>
            <w:shd w:val="clear" w:color="000000" w:fill="DA9694"/>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985" w:type="dxa"/>
            <w:tcBorders>
              <w:top w:val="single" w:sz="4" w:space="0" w:color="auto"/>
              <w:left w:val="nil"/>
              <w:bottom w:val="single" w:sz="4" w:space="0" w:color="auto"/>
              <w:right w:val="single" w:sz="4" w:space="0" w:color="auto"/>
            </w:tcBorders>
            <w:shd w:val="clear" w:color="000000" w:fill="DA9694"/>
            <w:vAlign w:val="center"/>
          </w:tcPr>
          <w:p w:rsidR="00AF4A95" w:rsidRPr="00164509" w:rsidRDefault="00AF4A95" w:rsidP="00AF4A95">
            <w:pPr>
              <w:spacing w:beforeLines="60" w:before="144" w:afterLines="60" w:after="144"/>
              <w:jc w:val="center"/>
              <w:rPr>
                <w:rFonts w:cs="Arial"/>
                <w:b/>
                <w:bCs/>
                <w:color w:val="auto"/>
                <w:sz w:val="20"/>
                <w:szCs w:val="20"/>
              </w:rPr>
            </w:pPr>
            <w:r w:rsidRPr="00164509">
              <w:rPr>
                <w:rFonts w:cs="Arial"/>
                <w:b/>
                <w:bCs/>
                <w:color w:val="auto"/>
                <w:sz w:val="20"/>
                <w:szCs w:val="20"/>
              </w:rPr>
              <w:t>£</w:t>
            </w:r>
            <w:r>
              <w:rPr>
                <w:rFonts w:cs="Arial"/>
                <w:b/>
                <w:bCs/>
                <w:color w:val="auto"/>
                <w:sz w:val="20"/>
                <w:szCs w:val="20"/>
              </w:rPr>
              <w:t>136,859</w:t>
            </w:r>
          </w:p>
        </w:tc>
        <w:tc>
          <w:tcPr>
            <w:tcW w:w="6945" w:type="dxa"/>
            <w:tcBorders>
              <w:top w:val="nil"/>
              <w:left w:val="nil"/>
              <w:bottom w:val="nil"/>
              <w:right w:val="single" w:sz="4" w:space="0" w:color="auto"/>
            </w:tcBorders>
            <w:shd w:val="clear" w:color="000000" w:fill="DA9694"/>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AF4A95" w:rsidRPr="00164509" w:rsidTr="00AF4A95">
        <w:trPr>
          <w:trHeight w:val="255"/>
        </w:trPr>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Single Homelessness Team (current arrangements)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£120,000</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contribution towards the Council’s Rough Sleeping and Single Homelessness Team. </w:t>
            </w:r>
          </w:p>
        </w:tc>
      </w:tr>
      <w:tr w:rsidR="00AF4A95" w:rsidRPr="00164509"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proofErr w:type="spellStart"/>
            <w:r w:rsidRPr="00164509">
              <w:rPr>
                <w:rFonts w:cs="Arial"/>
                <w:color w:val="auto"/>
                <w:sz w:val="20"/>
                <w:szCs w:val="20"/>
              </w:rPr>
              <w:t>OxfordCHAIN</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Real Systems</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AF4A95">
            <w:pPr>
              <w:spacing w:beforeLines="60" w:before="144" w:afterLines="60" w:after="144"/>
              <w:jc w:val="center"/>
              <w:rPr>
                <w:rFonts w:cs="Arial"/>
                <w:color w:val="auto"/>
                <w:sz w:val="20"/>
                <w:szCs w:val="20"/>
              </w:rPr>
            </w:pPr>
            <w:r w:rsidRPr="00164509">
              <w:rPr>
                <w:rFonts w:cs="Arial"/>
                <w:color w:val="auto"/>
                <w:sz w:val="20"/>
                <w:szCs w:val="20"/>
              </w:rPr>
              <w:t>£</w:t>
            </w:r>
            <w:r>
              <w:rPr>
                <w:rFonts w:cs="Arial"/>
                <w:color w:val="auto"/>
                <w:sz w:val="20"/>
                <w:szCs w:val="20"/>
              </w:rPr>
              <w:t>5,272</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Core funding to maintain web-based database management system that collates data and provides monitoring reports on rough sleeping.</w:t>
            </w:r>
            <w:r>
              <w:rPr>
                <w:rFonts w:cs="Arial"/>
                <w:color w:val="auto"/>
                <w:sz w:val="20"/>
                <w:szCs w:val="20"/>
              </w:rPr>
              <w:t xml:space="preserve"> </w:t>
            </w:r>
            <w:r w:rsidRPr="00044E92">
              <w:rPr>
                <w:rFonts w:cs="Arial"/>
                <w:color w:val="auto"/>
                <w:sz w:val="20"/>
                <w:szCs w:val="20"/>
              </w:rPr>
              <w:t>The forecast spend for this areas is £6,893 due to the need to ensure that provider’s operational staff are able to access the system, deliver training in how to use the system and developments to improve the quality of data and reporting capability.</w:t>
            </w:r>
          </w:p>
        </w:tc>
      </w:tr>
      <w:tr w:rsidR="00AF4A95" w:rsidRPr="00164509"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tcPr>
          <w:p w:rsidR="00AF4A95" w:rsidRPr="00164509" w:rsidRDefault="00AF4A95" w:rsidP="009E7DFC">
            <w:pPr>
              <w:spacing w:beforeLines="60" w:before="144" w:afterLines="60" w:after="144"/>
              <w:rPr>
                <w:rFonts w:cs="Arial"/>
                <w:color w:val="auto"/>
                <w:sz w:val="20"/>
                <w:szCs w:val="20"/>
              </w:rPr>
            </w:pPr>
            <w:r>
              <w:rPr>
                <w:rFonts w:cs="Arial"/>
                <w:color w:val="auto"/>
                <w:sz w:val="20"/>
                <w:szCs w:val="20"/>
              </w:rPr>
              <w:t>Network development programme</w:t>
            </w:r>
          </w:p>
        </w:tc>
        <w:tc>
          <w:tcPr>
            <w:tcW w:w="2552" w:type="dxa"/>
            <w:tcBorders>
              <w:top w:val="nil"/>
              <w:left w:val="nil"/>
              <w:bottom w:val="single" w:sz="4" w:space="0" w:color="auto"/>
              <w:right w:val="single" w:sz="4" w:space="0" w:color="auto"/>
            </w:tcBorders>
            <w:shd w:val="clear" w:color="auto" w:fill="auto"/>
            <w:noWrap/>
            <w:vAlign w:val="center"/>
          </w:tcPr>
          <w:p w:rsidR="00AF4A95" w:rsidRPr="00164509" w:rsidRDefault="00AF4A95" w:rsidP="009E7DFC">
            <w:pPr>
              <w:spacing w:beforeLines="60" w:before="144" w:afterLines="60" w:after="144"/>
              <w:rPr>
                <w:rFonts w:cs="Arial"/>
                <w:color w:val="auto"/>
                <w:sz w:val="20"/>
                <w:szCs w:val="20"/>
              </w:rPr>
            </w:pPr>
            <w:r>
              <w:rPr>
                <w:rFonts w:cs="Arial"/>
                <w:color w:val="auto"/>
                <w:sz w:val="20"/>
                <w:szCs w:val="20"/>
              </w:rPr>
              <w:t>TBC</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Pr>
                <w:rFonts w:cs="Arial"/>
                <w:color w:val="auto"/>
                <w:sz w:val="20"/>
                <w:szCs w:val="20"/>
              </w:rPr>
              <w:t>£5,000</w:t>
            </w:r>
          </w:p>
        </w:tc>
        <w:tc>
          <w:tcPr>
            <w:tcW w:w="6945" w:type="dxa"/>
            <w:tcBorders>
              <w:top w:val="nil"/>
              <w:left w:val="nil"/>
              <w:bottom w:val="single" w:sz="4" w:space="0" w:color="auto"/>
              <w:right w:val="single" w:sz="4" w:space="0" w:color="auto"/>
            </w:tcBorders>
            <w:shd w:val="clear" w:color="auto" w:fill="auto"/>
            <w:noWrap/>
            <w:vAlign w:val="center"/>
          </w:tcPr>
          <w:p w:rsidR="00AF4A95" w:rsidRPr="00AF4A95" w:rsidRDefault="00AF4A95" w:rsidP="00AF4A95">
            <w:pPr>
              <w:spacing w:beforeLines="60" w:before="144" w:afterLines="60" w:after="144"/>
            </w:pPr>
            <w:r>
              <w:rPr>
                <w:rFonts w:cs="Arial"/>
                <w:color w:val="auto"/>
                <w:sz w:val="20"/>
                <w:szCs w:val="20"/>
              </w:rPr>
              <w:t xml:space="preserve">For </w:t>
            </w:r>
            <w:r w:rsidRPr="00AF4A95">
              <w:rPr>
                <w:rFonts w:cs="Arial"/>
                <w:color w:val="auto"/>
                <w:sz w:val="20"/>
                <w:szCs w:val="20"/>
              </w:rPr>
              <w:t>the development and delivery of a programme of networking, learning and development for commissioned service providers’ staff and others as appropriate</w:t>
            </w:r>
          </w:p>
        </w:tc>
      </w:tr>
      <w:tr w:rsidR="009C497A" w:rsidRPr="00164509"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tcPr>
          <w:p w:rsidR="009C497A" w:rsidRDefault="009C497A" w:rsidP="009E7DFC">
            <w:pPr>
              <w:spacing w:beforeLines="60" w:before="144" w:afterLines="60" w:after="144"/>
              <w:rPr>
                <w:rFonts w:cs="Arial"/>
                <w:color w:val="auto"/>
                <w:sz w:val="20"/>
                <w:szCs w:val="20"/>
              </w:rPr>
            </w:pPr>
            <w:r w:rsidRPr="009C497A">
              <w:rPr>
                <w:rFonts w:cs="Arial"/>
                <w:color w:val="auto"/>
                <w:sz w:val="20"/>
                <w:szCs w:val="20"/>
              </w:rPr>
              <w:t>Access to leisure services</w:t>
            </w:r>
          </w:p>
        </w:tc>
        <w:tc>
          <w:tcPr>
            <w:tcW w:w="2552" w:type="dxa"/>
            <w:tcBorders>
              <w:top w:val="nil"/>
              <w:left w:val="nil"/>
              <w:bottom w:val="single" w:sz="4" w:space="0" w:color="auto"/>
              <w:right w:val="single" w:sz="4" w:space="0" w:color="auto"/>
            </w:tcBorders>
            <w:shd w:val="clear" w:color="auto" w:fill="auto"/>
            <w:noWrap/>
            <w:vAlign w:val="center"/>
          </w:tcPr>
          <w:p w:rsidR="009C497A" w:rsidRPr="00164509" w:rsidRDefault="009C497A" w:rsidP="009E7DFC">
            <w:pPr>
              <w:spacing w:beforeLines="60" w:before="144" w:afterLines="60" w:after="144"/>
              <w:rPr>
                <w:rFonts w:cs="Arial"/>
                <w:color w:val="auto"/>
                <w:sz w:val="20"/>
                <w:szCs w:val="20"/>
              </w:rPr>
            </w:pPr>
            <w:r>
              <w:rPr>
                <w:rFonts w:cs="Arial"/>
                <w:color w:val="auto"/>
                <w:sz w:val="20"/>
                <w:szCs w:val="20"/>
              </w:rPr>
              <w:t>TBC</w:t>
            </w:r>
          </w:p>
        </w:tc>
        <w:tc>
          <w:tcPr>
            <w:tcW w:w="1985" w:type="dxa"/>
            <w:tcBorders>
              <w:top w:val="single" w:sz="4" w:space="0" w:color="auto"/>
              <w:left w:val="nil"/>
              <w:bottom w:val="single" w:sz="4" w:space="0" w:color="auto"/>
              <w:right w:val="single" w:sz="4" w:space="0" w:color="auto"/>
            </w:tcBorders>
            <w:vAlign w:val="center"/>
          </w:tcPr>
          <w:p w:rsidR="009C497A" w:rsidRPr="00164509" w:rsidRDefault="009C497A" w:rsidP="009E7DFC">
            <w:pPr>
              <w:spacing w:beforeLines="60" w:before="144" w:afterLines="60" w:after="144"/>
              <w:jc w:val="center"/>
              <w:rPr>
                <w:rFonts w:cs="Arial"/>
                <w:color w:val="auto"/>
                <w:sz w:val="20"/>
                <w:szCs w:val="20"/>
              </w:rPr>
            </w:pPr>
            <w:r w:rsidRPr="009C497A">
              <w:rPr>
                <w:rFonts w:cs="Arial"/>
                <w:color w:val="auto"/>
                <w:sz w:val="20"/>
                <w:szCs w:val="20"/>
              </w:rPr>
              <w:t>£5,000</w:t>
            </w:r>
          </w:p>
        </w:tc>
        <w:tc>
          <w:tcPr>
            <w:tcW w:w="6945" w:type="dxa"/>
            <w:tcBorders>
              <w:top w:val="nil"/>
              <w:left w:val="nil"/>
              <w:bottom w:val="single" w:sz="4" w:space="0" w:color="auto"/>
              <w:right w:val="single" w:sz="4" w:space="0" w:color="auto"/>
            </w:tcBorders>
            <w:shd w:val="clear" w:color="auto" w:fill="auto"/>
            <w:noWrap/>
            <w:vAlign w:val="center"/>
          </w:tcPr>
          <w:p w:rsidR="009C497A" w:rsidRPr="009C497A" w:rsidRDefault="009C497A" w:rsidP="00BE1706">
            <w:pPr>
              <w:spacing w:beforeLines="60" w:before="144" w:afterLines="60" w:after="144"/>
            </w:pPr>
            <w:r>
              <w:rPr>
                <w:rFonts w:cs="Arial"/>
                <w:color w:val="auto"/>
                <w:sz w:val="20"/>
                <w:szCs w:val="20"/>
              </w:rPr>
              <w:t>T</w:t>
            </w:r>
            <w:r w:rsidRPr="009C497A">
              <w:rPr>
                <w:rFonts w:cs="Arial"/>
                <w:color w:val="auto"/>
                <w:sz w:val="20"/>
                <w:szCs w:val="20"/>
              </w:rPr>
              <w:t>o support former rough sleepers to access the Council’s leisure facilities free of charge.</w:t>
            </w:r>
          </w:p>
        </w:tc>
      </w:tr>
      <w:tr w:rsidR="00AF4A95" w:rsidRPr="00164509"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Pr>
                <w:rFonts w:cs="Arial"/>
                <w:color w:val="auto"/>
                <w:sz w:val="20"/>
                <w:szCs w:val="20"/>
              </w:rPr>
              <w:t>Contingency</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TBC</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C497A">
            <w:pPr>
              <w:spacing w:beforeLines="60" w:before="144" w:afterLines="60" w:after="144"/>
              <w:jc w:val="center"/>
              <w:rPr>
                <w:rFonts w:cs="Arial"/>
                <w:color w:val="auto"/>
                <w:sz w:val="20"/>
                <w:szCs w:val="20"/>
              </w:rPr>
            </w:pPr>
            <w:r w:rsidRPr="00164509">
              <w:rPr>
                <w:rFonts w:cs="Arial"/>
                <w:color w:val="auto"/>
                <w:sz w:val="20"/>
                <w:szCs w:val="20"/>
              </w:rPr>
              <w:t>£</w:t>
            </w:r>
            <w:r w:rsidR="009C497A">
              <w:rPr>
                <w:rFonts w:cs="Arial"/>
                <w:color w:val="auto"/>
                <w:sz w:val="20"/>
                <w:szCs w:val="20"/>
              </w:rPr>
              <w:t>1</w:t>
            </w:r>
            <w:r>
              <w:rPr>
                <w:rFonts w:cs="Arial"/>
                <w:color w:val="auto"/>
                <w:sz w:val="20"/>
                <w:szCs w:val="20"/>
              </w:rPr>
              <w:t>,587</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BE1706">
            <w:pPr>
              <w:spacing w:beforeLines="60" w:before="144" w:afterLines="60" w:after="144"/>
              <w:rPr>
                <w:rFonts w:cs="Arial"/>
                <w:color w:val="auto"/>
                <w:sz w:val="20"/>
                <w:szCs w:val="20"/>
              </w:rPr>
            </w:pPr>
            <w:r w:rsidRPr="00164509">
              <w:rPr>
                <w:rFonts w:cs="Arial"/>
                <w:color w:val="auto"/>
                <w:sz w:val="20"/>
                <w:szCs w:val="20"/>
              </w:rPr>
              <w:t xml:space="preserve">Funding put aside </w:t>
            </w:r>
            <w:r w:rsidR="00BE1706">
              <w:rPr>
                <w:rFonts w:cs="Arial"/>
                <w:color w:val="auto"/>
                <w:sz w:val="20"/>
                <w:szCs w:val="20"/>
              </w:rPr>
              <w:t>for</w:t>
            </w:r>
            <w:r w:rsidR="00BE1706" w:rsidRPr="00BE1706">
              <w:rPr>
                <w:rFonts w:cs="Arial"/>
                <w:color w:val="auto"/>
                <w:sz w:val="20"/>
                <w:szCs w:val="20"/>
              </w:rPr>
              <w:t xml:space="preserve"> in-year changes to committed allocations</w:t>
            </w:r>
          </w:p>
        </w:tc>
      </w:tr>
      <w:tr w:rsidR="00AF4A95" w:rsidRPr="00164509" w:rsidTr="00AF4A95">
        <w:trPr>
          <w:trHeight w:val="255"/>
        </w:trPr>
        <w:tc>
          <w:tcPr>
            <w:tcW w:w="26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F4A95" w:rsidRPr="008B4C85" w:rsidRDefault="00AF4A95" w:rsidP="009E7DFC">
            <w:pPr>
              <w:spacing w:beforeLines="60" w:before="144" w:afterLines="60" w:after="144"/>
              <w:rPr>
                <w:rFonts w:cs="Arial"/>
                <w:b/>
                <w:bCs/>
                <w:color w:val="auto"/>
              </w:rPr>
            </w:pPr>
            <w:r w:rsidRPr="008B4C85">
              <w:rPr>
                <w:rFonts w:cs="Arial"/>
                <w:b/>
                <w:bCs/>
                <w:color w:val="auto"/>
              </w:rPr>
              <w:t>Total allocated/committed</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AF4A95" w:rsidRPr="00164509" w:rsidRDefault="00AF4A95" w:rsidP="009E7DFC">
            <w:pPr>
              <w:spacing w:beforeLines="60" w:before="144" w:afterLines="60" w:after="144"/>
              <w:jc w:val="center"/>
              <w:rPr>
                <w:rFonts w:cs="Arial"/>
                <w:b/>
                <w:bCs/>
                <w:color w:val="auto"/>
              </w:rPr>
            </w:pPr>
            <w:r w:rsidRPr="00164509">
              <w:rPr>
                <w:rFonts w:cs="Arial"/>
                <w:b/>
                <w:bCs/>
                <w:color w:val="auto"/>
              </w:rPr>
              <w:t> </w:t>
            </w:r>
          </w:p>
        </w:tc>
        <w:tc>
          <w:tcPr>
            <w:tcW w:w="1985" w:type="dxa"/>
            <w:tcBorders>
              <w:top w:val="single" w:sz="4" w:space="0" w:color="auto"/>
              <w:left w:val="nil"/>
              <w:bottom w:val="single" w:sz="4" w:space="0" w:color="auto"/>
              <w:right w:val="single" w:sz="4" w:space="0" w:color="auto"/>
            </w:tcBorders>
            <w:shd w:val="clear" w:color="000000" w:fill="F2F2F2"/>
          </w:tcPr>
          <w:p w:rsidR="005C0D7E" w:rsidRDefault="005C0D7E" w:rsidP="005C0D7E">
            <w:pPr>
              <w:jc w:val="center"/>
              <w:rPr>
                <w:rFonts w:cs="Arial"/>
                <w:b/>
                <w:bCs/>
              </w:rPr>
            </w:pPr>
          </w:p>
          <w:p w:rsidR="00AF4A95" w:rsidRPr="005C0D7E" w:rsidRDefault="005C0D7E" w:rsidP="00671D34">
            <w:pPr>
              <w:jc w:val="center"/>
              <w:rPr>
                <w:rFonts w:cs="Arial"/>
                <w:b/>
                <w:bCs/>
              </w:rPr>
            </w:pPr>
            <w:r>
              <w:rPr>
                <w:rFonts w:cs="Arial"/>
                <w:b/>
                <w:bCs/>
              </w:rPr>
              <w:t>1,7</w:t>
            </w:r>
            <w:r w:rsidR="00671D34">
              <w:rPr>
                <w:rFonts w:cs="Arial"/>
                <w:b/>
                <w:bCs/>
              </w:rPr>
              <w:t>44</w:t>
            </w:r>
            <w:r>
              <w:rPr>
                <w:rFonts w:cs="Arial"/>
                <w:b/>
                <w:bCs/>
              </w:rPr>
              <w:t>,197</w:t>
            </w:r>
          </w:p>
        </w:tc>
        <w:tc>
          <w:tcPr>
            <w:tcW w:w="6945" w:type="dxa"/>
            <w:tcBorders>
              <w:top w:val="single" w:sz="4" w:space="0" w:color="auto"/>
              <w:left w:val="nil"/>
              <w:bottom w:val="single" w:sz="4" w:space="0" w:color="auto"/>
              <w:right w:val="single" w:sz="4" w:space="0" w:color="auto"/>
            </w:tcBorders>
            <w:shd w:val="clear" w:color="000000" w:fill="F2F2F2"/>
            <w:noWrap/>
            <w:vAlign w:val="center"/>
            <w:hideMark/>
          </w:tcPr>
          <w:p w:rsidR="00AF4A95" w:rsidRPr="00164509" w:rsidRDefault="00AF4A95" w:rsidP="009E7DFC">
            <w:pPr>
              <w:spacing w:beforeLines="60" w:before="144" w:afterLines="60" w:after="144"/>
              <w:jc w:val="center"/>
              <w:rPr>
                <w:rFonts w:cs="Arial"/>
                <w:b/>
                <w:bCs/>
                <w:color w:val="auto"/>
              </w:rPr>
            </w:pPr>
            <w:r w:rsidRPr="00164509">
              <w:rPr>
                <w:rFonts w:cs="Arial"/>
                <w:b/>
                <w:bCs/>
                <w:color w:val="auto"/>
              </w:rPr>
              <w:t> </w:t>
            </w:r>
          </w:p>
        </w:tc>
      </w:tr>
      <w:tr w:rsidR="00AF4A95" w:rsidRPr="00164509" w:rsidTr="00AF4A95">
        <w:trPr>
          <w:trHeight w:val="255"/>
        </w:trPr>
        <w:tc>
          <w:tcPr>
            <w:tcW w:w="2698" w:type="dxa"/>
            <w:tcBorders>
              <w:top w:val="nil"/>
              <w:left w:val="nil"/>
              <w:bottom w:val="nil"/>
              <w:right w:val="nil"/>
            </w:tcBorders>
            <w:shd w:val="clear" w:color="auto" w:fill="auto"/>
            <w:noWrap/>
            <w:vAlign w:val="bottom"/>
            <w:hideMark/>
          </w:tcPr>
          <w:p w:rsidR="00AF4A95" w:rsidRPr="00164509" w:rsidRDefault="00AF4A95" w:rsidP="00164509">
            <w:pPr>
              <w:spacing w:after="0"/>
              <w:rPr>
                <w:rFonts w:cs="Arial"/>
                <w:color w:val="DD0806"/>
                <w:sz w:val="18"/>
                <w:szCs w:val="18"/>
              </w:rPr>
            </w:pPr>
          </w:p>
        </w:tc>
        <w:tc>
          <w:tcPr>
            <w:tcW w:w="2552" w:type="dxa"/>
            <w:tcBorders>
              <w:top w:val="nil"/>
              <w:left w:val="nil"/>
              <w:bottom w:val="nil"/>
              <w:right w:val="nil"/>
            </w:tcBorders>
            <w:shd w:val="clear" w:color="auto" w:fill="auto"/>
            <w:noWrap/>
            <w:vAlign w:val="bottom"/>
            <w:hideMark/>
          </w:tcPr>
          <w:p w:rsidR="00AF4A95" w:rsidRPr="00164509" w:rsidRDefault="00AF4A95" w:rsidP="00164509">
            <w:pPr>
              <w:spacing w:after="0"/>
              <w:rPr>
                <w:rFonts w:cs="Arial"/>
                <w:color w:val="DD0806"/>
                <w:sz w:val="18"/>
                <w:szCs w:val="18"/>
              </w:rPr>
            </w:pPr>
          </w:p>
        </w:tc>
        <w:tc>
          <w:tcPr>
            <w:tcW w:w="1985" w:type="dxa"/>
            <w:tcBorders>
              <w:top w:val="single" w:sz="4" w:space="0" w:color="auto"/>
              <w:left w:val="nil"/>
              <w:bottom w:val="nil"/>
              <w:right w:val="single" w:sz="4" w:space="0" w:color="auto"/>
            </w:tcBorders>
          </w:tcPr>
          <w:p w:rsidR="00AF4A95" w:rsidRPr="00164509" w:rsidRDefault="00AF4A95" w:rsidP="00164509">
            <w:pPr>
              <w:spacing w:after="0"/>
              <w:rPr>
                <w:rFonts w:cs="Arial"/>
                <w:color w:val="DD0806"/>
                <w:sz w:val="18"/>
                <w:szCs w:val="18"/>
              </w:rPr>
            </w:pPr>
          </w:p>
        </w:tc>
        <w:tc>
          <w:tcPr>
            <w:tcW w:w="6945" w:type="dxa"/>
            <w:tcBorders>
              <w:top w:val="nil"/>
              <w:left w:val="nil"/>
              <w:bottom w:val="nil"/>
              <w:right w:val="nil"/>
            </w:tcBorders>
            <w:shd w:val="clear" w:color="auto" w:fill="auto"/>
            <w:noWrap/>
            <w:vAlign w:val="bottom"/>
            <w:hideMark/>
          </w:tcPr>
          <w:p w:rsidR="00AF4A95" w:rsidRPr="00164509" w:rsidRDefault="00AF4A95" w:rsidP="00164509">
            <w:pPr>
              <w:spacing w:after="0"/>
              <w:rPr>
                <w:rFonts w:cs="Arial"/>
                <w:color w:val="DD0806"/>
                <w:sz w:val="18"/>
                <w:szCs w:val="18"/>
              </w:rPr>
            </w:pPr>
          </w:p>
        </w:tc>
      </w:tr>
    </w:tbl>
    <w:p w:rsidR="004456DD" w:rsidRPr="009E51FC" w:rsidRDefault="004456DD" w:rsidP="0093067A"/>
    <w:sectPr w:rsidR="004456DD" w:rsidRPr="009E51FC" w:rsidSect="008B4C85">
      <w:headerReference w:type="even" r:id="rId9"/>
      <w:headerReference w:type="default" r:id="rId10"/>
      <w:footerReference w:type="even" r:id="rId11"/>
      <w:headerReference w:type="first" r:id="rId12"/>
      <w:footerReference w:type="first" r:id="rId13"/>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F" w:rsidRDefault="000507FF" w:rsidP="004A6D2F">
      <w:r>
        <w:separator/>
      </w:r>
    </w:p>
  </w:endnote>
  <w:endnote w:type="continuationSeparator" w:id="0">
    <w:p w:rsidR="000507FF" w:rsidRDefault="000507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F" w:rsidRDefault="000507FF" w:rsidP="004A6D2F">
      <w:r>
        <w:separator/>
      </w:r>
    </w:p>
  </w:footnote>
  <w:footnote w:type="continuationSeparator" w:id="0">
    <w:p w:rsidR="000507FF" w:rsidRDefault="000507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F0135"/>
    <w:multiLevelType w:val="hybridMultilevel"/>
    <w:tmpl w:val="FB0CA5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15B0338"/>
    <w:multiLevelType w:val="hybridMultilevel"/>
    <w:tmpl w:val="4F4E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1"/>
  </w:num>
  <w:num w:numId="5">
    <w:abstractNumId w:val="13"/>
  </w:num>
  <w:num w:numId="6">
    <w:abstractNumId w:val="11"/>
  </w:num>
  <w:num w:numId="7">
    <w:abstractNumId w:val="9"/>
  </w:num>
  <w:num w:numId="8">
    <w:abstractNumId w:val="16"/>
  </w:num>
  <w:num w:numId="9">
    <w:abstractNumId w:val="16"/>
  </w:num>
  <w:num w:numId="10">
    <w:abstractNumId w:val="7"/>
  </w:num>
  <w:num w:numId="11">
    <w:abstractNumId w:val="12"/>
  </w:num>
  <w:num w:numId="12">
    <w:abstractNumId w:val="14"/>
  </w:num>
  <w:num w:numId="13">
    <w:abstractNumId w:val="16"/>
  </w:num>
  <w:num w:numId="14">
    <w:abstractNumId w:val="15"/>
  </w:num>
  <w:num w:numId="15">
    <w:abstractNumId w:val="16"/>
  </w:num>
  <w:num w:numId="16">
    <w:abstractNumId w:val="6"/>
  </w:num>
  <w:num w:numId="17">
    <w:abstractNumId w:val="16"/>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16"/>
  </w:num>
  <w:num w:numId="23">
    <w:abstractNumId w:val="8"/>
  </w:num>
  <w:num w:numId="24">
    <w:abstractNumId w:val="16"/>
  </w:num>
  <w:num w:numId="25">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26">
    <w:abstractNumId w:val="1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7">
    <w:abstractNumId w:val="4"/>
  </w:num>
  <w:num w:numId="28">
    <w:abstractNumId w:val="16"/>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4E92"/>
    <w:rsid w:val="00045F8B"/>
    <w:rsid w:val="00046D2B"/>
    <w:rsid w:val="000507FF"/>
    <w:rsid w:val="00056263"/>
    <w:rsid w:val="00064D8A"/>
    <w:rsid w:val="00064F82"/>
    <w:rsid w:val="00066510"/>
    <w:rsid w:val="00073EF9"/>
    <w:rsid w:val="00077523"/>
    <w:rsid w:val="000831E1"/>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3804"/>
    <w:rsid w:val="002B7981"/>
    <w:rsid w:val="002C64F7"/>
    <w:rsid w:val="002E12C1"/>
    <w:rsid w:val="002E19BC"/>
    <w:rsid w:val="002F077B"/>
    <w:rsid w:val="002F41F2"/>
    <w:rsid w:val="00301BF3"/>
    <w:rsid w:val="0030208D"/>
    <w:rsid w:val="00306FB6"/>
    <w:rsid w:val="00310ED5"/>
    <w:rsid w:val="00312113"/>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1324E"/>
    <w:rsid w:val="00421CB2"/>
    <w:rsid w:val="00422B8E"/>
    <w:rsid w:val="00424AEF"/>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7CF6"/>
    <w:rsid w:val="00491046"/>
    <w:rsid w:val="004A0023"/>
    <w:rsid w:val="004A1491"/>
    <w:rsid w:val="004A2AC7"/>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4712D"/>
    <w:rsid w:val="00547EF6"/>
    <w:rsid w:val="005570B5"/>
    <w:rsid w:val="00567E18"/>
    <w:rsid w:val="00572A0B"/>
    <w:rsid w:val="00575F5F"/>
    <w:rsid w:val="00581805"/>
    <w:rsid w:val="0058347C"/>
    <w:rsid w:val="00585F76"/>
    <w:rsid w:val="005969F3"/>
    <w:rsid w:val="005A2CAC"/>
    <w:rsid w:val="005A34E4"/>
    <w:rsid w:val="005A7390"/>
    <w:rsid w:val="005B17F2"/>
    <w:rsid w:val="005B7FB0"/>
    <w:rsid w:val="005C0D7E"/>
    <w:rsid w:val="005C35A5"/>
    <w:rsid w:val="005C5425"/>
    <w:rsid w:val="005C577C"/>
    <w:rsid w:val="005C5844"/>
    <w:rsid w:val="005C6B5B"/>
    <w:rsid w:val="005C7759"/>
    <w:rsid w:val="005D0621"/>
    <w:rsid w:val="005D1E27"/>
    <w:rsid w:val="005D2A3E"/>
    <w:rsid w:val="005E022E"/>
    <w:rsid w:val="005E31BE"/>
    <w:rsid w:val="005E5215"/>
    <w:rsid w:val="005E72B2"/>
    <w:rsid w:val="005F7F7E"/>
    <w:rsid w:val="00614693"/>
    <w:rsid w:val="00623C2F"/>
    <w:rsid w:val="006256A2"/>
    <w:rsid w:val="00627AE7"/>
    <w:rsid w:val="00633578"/>
    <w:rsid w:val="00637068"/>
    <w:rsid w:val="00640013"/>
    <w:rsid w:val="00641E81"/>
    <w:rsid w:val="00647581"/>
    <w:rsid w:val="00650811"/>
    <w:rsid w:val="00661D3E"/>
    <w:rsid w:val="00667A30"/>
    <w:rsid w:val="00671D34"/>
    <w:rsid w:val="00692627"/>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B76A2"/>
    <w:rsid w:val="007C5C23"/>
    <w:rsid w:val="007E2A26"/>
    <w:rsid w:val="007E570B"/>
    <w:rsid w:val="007F2348"/>
    <w:rsid w:val="00803F07"/>
    <w:rsid w:val="0080749A"/>
    <w:rsid w:val="00821A15"/>
    <w:rsid w:val="00821FB8"/>
    <w:rsid w:val="00822ACD"/>
    <w:rsid w:val="00855C66"/>
    <w:rsid w:val="008624C6"/>
    <w:rsid w:val="008667C3"/>
    <w:rsid w:val="00871EE4"/>
    <w:rsid w:val="008B293F"/>
    <w:rsid w:val="008B4C85"/>
    <w:rsid w:val="008B5C17"/>
    <w:rsid w:val="008B7371"/>
    <w:rsid w:val="008C1FBF"/>
    <w:rsid w:val="008C4B6C"/>
    <w:rsid w:val="008D26B5"/>
    <w:rsid w:val="008D3DDB"/>
    <w:rsid w:val="008F00D2"/>
    <w:rsid w:val="008F573F"/>
    <w:rsid w:val="009034EC"/>
    <w:rsid w:val="009128E0"/>
    <w:rsid w:val="0092705F"/>
    <w:rsid w:val="0093067A"/>
    <w:rsid w:val="00941C60"/>
    <w:rsid w:val="00941CD8"/>
    <w:rsid w:val="00966D42"/>
    <w:rsid w:val="00971689"/>
    <w:rsid w:val="00973E90"/>
    <w:rsid w:val="00975B07"/>
    <w:rsid w:val="00980B4A"/>
    <w:rsid w:val="00990DF3"/>
    <w:rsid w:val="009B168F"/>
    <w:rsid w:val="009B326E"/>
    <w:rsid w:val="009B4537"/>
    <w:rsid w:val="009C497A"/>
    <w:rsid w:val="009E33A7"/>
    <w:rsid w:val="009E3D0A"/>
    <w:rsid w:val="009E51FC"/>
    <w:rsid w:val="009E631A"/>
    <w:rsid w:val="009E7DFC"/>
    <w:rsid w:val="009F05E5"/>
    <w:rsid w:val="009F1B44"/>
    <w:rsid w:val="009F1D28"/>
    <w:rsid w:val="009F7618"/>
    <w:rsid w:val="00A04D23"/>
    <w:rsid w:val="00A06766"/>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AF4A95"/>
    <w:rsid w:val="00B1713B"/>
    <w:rsid w:val="00B2337B"/>
    <w:rsid w:val="00B4230A"/>
    <w:rsid w:val="00B500CA"/>
    <w:rsid w:val="00B72910"/>
    <w:rsid w:val="00B86314"/>
    <w:rsid w:val="00B91B3D"/>
    <w:rsid w:val="00BA1C2E"/>
    <w:rsid w:val="00BA4073"/>
    <w:rsid w:val="00BC200B"/>
    <w:rsid w:val="00BC4756"/>
    <w:rsid w:val="00BC69A4"/>
    <w:rsid w:val="00BD5AEC"/>
    <w:rsid w:val="00BE0680"/>
    <w:rsid w:val="00BE1706"/>
    <w:rsid w:val="00BE305F"/>
    <w:rsid w:val="00BE7BA3"/>
    <w:rsid w:val="00BF5682"/>
    <w:rsid w:val="00BF7B09"/>
    <w:rsid w:val="00C103B5"/>
    <w:rsid w:val="00C11C17"/>
    <w:rsid w:val="00C161DA"/>
    <w:rsid w:val="00C20A95"/>
    <w:rsid w:val="00C2692F"/>
    <w:rsid w:val="00C27181"/>
    <w:rsid w:val="00C3207C"/>
    <w:rsid w:val="00C400E1"/>
    <w:rsid w:val="00C41187"/>
    <w:rsid w:val="00C62745"/>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D11E1C"/>
    <w:rsid w:val="00D160B0"/>
    <w:rsid w:val="00D17F94"/>
    <w:rsid w:val="00D223FC"/>
    <w:rsid w:val="00D23363"/>
    <w:rsid w:val="00D26D1E"/>
    <w:rsid w:val="00D37028"/>
    <w:rsid w:val="00D40CA3"/>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206D6"/>
    <w:rsid w:val="00E3366E"/>
    <w:rsid w:val="00E4216B"/>
    <w:rsid w:val="00E52086"/>
    <w:rsid w:val="00E543A6"/>
    <w:rsid w:val="00E60479"/>
    <w:rsid w:val="00E61D73"/>
    <w:rsid w:val="00E67478"/>
    <w:rsid w:val="00E73684"/>
    <w:rsid w:val="00E818D6"/>
    <w:rsid w:val="00E860D4"/>
    <w:rsid w:val="00E87F7A"/>
    <w:rsid w:val="00E87FA2"/>
    <w:rsid w:val="00E96BD7"/>
    <w:rsid w:val="00EA0DB1"/>
    <w:rsid w:val="00EA0EE9"/>
    <w:rsid w:val="00EA7138"/>
    <w:rsid w:val="00EC4482"/>
    <w:rsid w:val="00ED52CA"/>
    <w:rsid w:val="00ED5860"/>
    <w:rsid w:val="00ED607A"/>
    <w:rsid w:val="00EE35C9"/>
    <w:rsid w:val="00EE5586"/>
    <w:rsid w:val="00EE612A"/>
    <w:rsid w:val="00EF3272"/>
    <w:rsid w:val="00F05ECA"/>
    <w:rsid w:val="00F07877"/>
    <w:rsid w:val="00F15646"/>
    <w:rsid w:val="00F2394D"/>
    <w:rsid w:val="00F3566E"/>
    <w:rsid w:val="00F375FB"/>
    <w:rsid w:val="00F41AC1"/>
    <w:rsid w:val="00F4367A"/>
    <w:rsid w:val="00F445B1"/>
    <w:rsid w:val="00F457C9"/>
    <w:rsid w:val="00F45CD4"/>
    <w:rsid w:val="00F66DCA"/>
    <w:rsid w:val="00F67CF4"/>
    <w:rsid w:val="00F74F53"/>
    <w:rsid w:val="00F7606D"/>
    <w:rsid w:val="00F77689"/>
    <w:rsid w:val="00F81670"/>
    <w:rsid w:val="00F82024"/>
    <w:rsid w:val="00F95BC9"/>
    <w:rsid w:val="00FA12CE"/>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67715222">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484198945">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970792899">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662848855">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DBEB-2203-41A1-82B8-8552ED62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8789731C</Template>
  <TotalTime>41</TotalTime>
  <Pages>5</Pages>
  <Words>1298</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rlawrence</cp:lastModifiedBy>
  <cp:revision>10</cp:revision>
  <cp:lastPrinted>2019-02-12T11:41:00Z</cp:lastPrinted>
  <dcterms:created xsi:type="dcterms:W3CDTF">2019-01-25T12:16:00Z</dcterms:created>
  <dcterms:modified xsi:type="dcterms:W3CDTF">2019-02-13T09:25:00Z</dcterms:modified>
</cp:coreProperties>
</file>